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E0" w:rsidRPr="00D54D50" w:rsidRDefault="00C277E0" w:rsidP="00F76963">
      <w:pPr>
        <w:pStyle w:val="Title"/>
        <w:tabs>
          <w:tab w:val="left" w:pos="7655"/>
        </w:tabs>
        <w:spacing w:after="600"/>
      </w:pPr>
      <w:r>
        <w:t>Standards of</w:t>
      </w:r>
      <w:r>
        <w:br/>
        <w:t>Service Provision for</w:t>
      </w:r>
      <w:r w:rsidR="00E74398">
        <w:br/>
      </w:r>
      <w:r>
        <w:t>Lung Cancer Patients</w:t>
      </w:r>
      <w:r>
        <w:br/>
        <w:t>in New Zealand</w:t>
      </w:r>
    </w:p>
    <w:p w:rsidR="00C277E0" w:rsidRPr="00843E92" w:rsidRDefault="00C277E0" w:rsidP="00B23817">
      <w:pPr>
        <w:jc w:val="center"/>
        <w:rPr>
          <w:rFonts w:cs="Arial"/>
          <w:b/>
          <w:sz w:val="40"/>
          <w:szCs w:val="40"/>
        </w:rPr>
      </w:pPr>
      <w:r>
        <w:rPr>
          <w:rFonts w:ascii="HelvNZ-Light" w:hAnsi="HelvNZ-Light" w:cs="HelvNZ-Light"/>
          <w:sz w:val="48"/>
          <w:szCs w:val="48"/>
          <w:lang w:eastAsia="en-NZ"/>
        </w:rPr>
        <w:t>National Lung Cancer Working Group</w:t>
      </w:r>
    </w:p>
    <w:p w:rsidR="00E74398" w:rsidRDefault="00E74398" w:rsidP="00E74398">
      <w:pPr>
        <w:spacing w:before="2640"/>
        <w:jc w:val="center"/>
        <w:rPr>
          <w:rFonts w:cs="Arial"/>
          <w:b/>
          <w:sz w:val="28"/>
          <w:szCs w:val="28"/>
        </w:rPr>
        <w:sectPr w:rsidR="00E74398" w:rsidSect="00E74398">
          <w:headerReference w:type="even" r:id="rId9"/>
          <w:headerReference w:type="default" r:id="rId10"/>
          <w:footerReference w:type="even" r:id="rId11"/>
          <w:footerReference w:type="default" r:id="rId12"/>
          <w:headerReference w:type="first" r:id="rId13"/>
          <w:footerReference w:type="first" r:id="rId14"/>
          <w:pgSz w:w="11907" w:h="16839" w:code="9"/>
          <w:pgMar w:top="5670" w:right="1134" w:bottom="2268" w:left="1134" w:header="425" w:footer="1134" w:gutter="0"/>
          <w:cols w:space="708"/>
          <w:docGrid w:linePitch="360"/>
        </w:sectPr>
      </w:pPr>
    </w:p>
    <w:p w:rsidR="001736EC" w:rsidRPr="00B52E32" w:rsidRDefault="001736EC" w:rsidP="00B23817">
      <w:pPr>
        <w:pStyle w:val="Imprint"/>
      </w:pPr>
      <w:r w:rsidRPr="00B52E32">
        <w:lastRenderedPageBreak/>
        <w:t xml:space="preserve">Citation: National </w:t>
      </w:r>
      <w:r w:rsidR="007B5F4C" w:rsidRPr="00B52E32">
        <w:t>Lung</w:t>
      </w:r>
      <w:r w:rsidRPr="00B52E32">
        <w:t xml:space="preserve"> Cancer </w:t>
      </w:r>
      <w:r w:rsidR="00B21D1F">
        <w:t>Working Group. 2016</w:t>
      </w:r>
      <w:r w:rsidRPr="00B52E32">
        <w:t xml:space="preserve">. </w:t>
      </w:r>
      <w:r w:rsidRPr="00B52E32">
        <w:rPr>
          <w:i/>
        </w:rPr>
        <w:t>Standards of Service Provision for Lung Cancer Patients in New Zealand</w:t>
      </w:r>
      <w:r w:rsidR="00891176">
        <w:t xml:space="preserve"> (2nd </w:t>
      </w:r>
      <w:proofErr w:type="spellStart"/>
      <w:r w:rsidR="00891176">
        <w:t>edn</w:t>
      </w:r>
      <w:proofErr w:type="spellEnd"/>
      <w:r w:rsidR="00891176">
        <w:t xml:space="preserve">). </w:t>
      </w:r>
      <w:r w:rsidRPr="00B52E32">
        <w:t>Wellington: Ministry of Health.</w:t>
      </w:r>
    </w:p>
    <w:p w:rsidR="001736EC" w:rsidRDefault="001736EC" w:rsidP="00B23817">
      <w:pPr>
        <w:pStyle w:val="Imprint"/>
      </w:pPr>
      <w:r w:rsidRPr="00B52E32">
        <w:t xml:space="preserve">Published in </w:t>
      </w:r>
      <w:r w:rsidR="00B21D1F">
        <w:t>2016</w:t>
      </w:r>
      <w:r w:rsidRPr="00B52E32">
        <w:t xml:space="preserve"> by the Ministry of Health</w:t>
      </w:r>
      <w:r w:rsidRPr="00B52E32">
        <w:br/>
        <w:t>PO Box 5013, Wellington 614</w:t>
      </w:r>
      <w:r w:rsidR="00E74398">
        <w:t>0</w:t>
      </w:r>
      <w:r w:rsidRPr="00B52E32">
        <w:t>, New Zealand</w:t>
      </w:r>
    </w:p>
    <w:p w:rsidR="00891176" w:rsidRPr="00891176" w:rsidRDefault="00891176" w:rsidP="00891176">
      <w:pPr>
        <w:jc w:val="center"/>
        <w:rPr>
          <w:sz w:val="20"/>
          <w:szCs w:val="20"/>
          <w:lang w:eastAsia="en-GB"/>
        </w:rPr>
      </w:pPr>
      <w:r w:rsidRPr="00891176">
        <w:rPr>
          <w:sz w:val="20"/>
          <w:szCs w:val="20"/>
          <w:lang w:eastAsia="en-GB"/>
        </w:rPr>
        <w:t>ISBN</w:t>
      </w:r>
      <w:r>
        <w:rPr>
          <w:sz w:val="20"/>
          <w:szCs w:val="20"/>
          <w:lang w:eastAsia="en-GB"/>
        </w:rPr>
        <w:t xml:space="preserve">: </w:t>
      </w:r>
      <w:r w:rsidRPr="00891176">
        <w:rPr>
          <w:sz w:val="20"/>
          <w:szCs w:val="20"/>
          <w:lang w:eastAsia="en-GB"/>
        </w:rPr>
        <w:t>978-0-947515-12-6</w:t>
      </w:r>
      <w:r>
        <w:rPr>
          <w:sz w:val="20"/>
          <w:szCs w:val="20"/>
          <w:lang w:eastAsia="en-GB"/>
        </w:rPr>
        <w:br/>
        <w:t>HP 6419</w:t>
      </w:r>
    </w:p>
    <w:p w:rsidR="001736EC" w:rsidRDefault="001736EC" w:rsidP="00E74398">
      <w:pPr>
        <w:pStyle w:val="Imprint"/>
        <w:rPr>
          <w:rFonts w:cs="Arial"/>
          <w:b/>
        </w:rPr>
      </w:pPr>
      <w:r w:rsidRPr="00B52E32">
        <w:t xml:space="preserve">This document is available through the Ministry of Health website: </w:t>
      </w:r>
      <w:hyperlink r:id="rId15" w:history="1">
        <w:r w:rsidRPr="00B52E32">
          <w:rPr>
            <w:rStyle w:val="Hyperlink"/>
          </w:rPr>
          <w:t>www.health.govt.nz</w:t>
        </w:r>
      </w:hyperlink>
      <w:r w:rsidRPr="00B52E32">
        <w:br/>
        <w:t>or from the regional cancer network websites</w:t>
      </w:r>
      <w:proofErr w:type="gramStart"/>
      <w:r w:rsidRPr="00B52E32">
        <w:t>:</w:t>
      </w:r>
      <w:proofErr w:type="gramEnd"/>
      <w:r w:rsidRPr="00B52E32">
        <w:br/>
      </w:r>
      <w:hyperlink r:id="rId16" w:history="1">
        <w:r w:rsidRPr="00B52E32">
          <w:rPr>
            <w:rStyle w:val="Hyperlink"/>
          </w:rPr>
          <w:t>www.northerncancernetwork.org.nz</w:t>
        </w:r>
      </w:hyperlink>
      <w:r w:rsidRPr="00B52E32">
        <w:br/>
      </w:r>
      <w:r w:rsidRPr="00B52E32">
        <w:rPr>
          <w:rStyle w:val="Hyperlink"/>
        </w:rPr>
        <w:t>www.midlandcancernetwork.org.nz</w:t>
      </w:r>
      <w:r w:rsidRPr="00B52E32">
        <w:br/>
      </w:r>
      <w:hyperlink r:id="rId17" w:history="1">
        <w:r w:rsidRPr="00B52E32">
          <w:rPr>
            <w:rStyle w:val="Hyperlink"/>
          </w:rPr>
          <w:t>www.centralcancernetwork.org.nz</w:t>
        </w:r>
      </w:hyperlink>
      <w:r w:rsidRPr="00B52E32">
        <w:br/>
      </w:r>
      <w:r w:rsidRPr="00B52E32">
        <w:rPr>
          <w:rStyle w:val="Hyperlink"/>
        </w:rPr>
        <w:t>www.southerncancernetwork.org.nz</w:t>
      </w:r>
    </w:p>
    <w:p w:rsidR="00E74398" w:rsidRDefault="00E74398" w:rsidP="00B23817">
      <w:pPr>
        <w:rPr>
          <w:b/>
          <w:kern w:val="32"/>
        </w:rPr>
        <w:sectPr w:rsidR="00E74398" w:rsidSect="00E74398">
          <w:footerReference w:type="even" r:id="rId18"/>
          <w:footerReference w:type="default" r:id="rId19"/>
          <w:headerReference w:type="first" r:id="rId20"/>
          <w:pgSz w:w="11907" w:h="16839" w:code="9"/>
          <w:pgMar w:top="5670" w:right="1134" w:bottom="1134" w:left="1134" w:header="425" w:footer="425" w:gutter="0"/>
          <w:cols w:space="708"/>
          <w:vAlign w:val="bottom"/>
          <w:docGrid w:linePitch="360"/>
        </w:sectPr>
      </w:pPr>
    </w:p>
    <w:p w:rsidR="008401BC" w:rsidRPr="0098124B" w:rsidRDefault="008401BC" w:rsidP="002D0608">
      <w:pPr>
        <w:pStyle w:val="Heading"/>
      </w:pPr>
      <w:r w:rsidRPr="0098124B">
        <w:lastRenderedPageBreak/>
        <w:t>Contents</w:t>
      </w:r>
    </w:p>
    <w:p w:rsidR="00FC2344" w:rsidRDefault="002D0608">
      <w:pPr>
        <w:pStyle w:val="TOC1"/>
        <w:rPr>
          <w:rFonts w:asciiTheme="minorHAnsi" w:eastAsiaTheme="minorEastAsia" w:hAnsiTheme="minorHAnsi" w:cstheme="minorBidi"/>
          <w:b w:val="0"/>
          <w:noProof/>
          <w:szCs w:val="22"/>
          <w:lang w:eastAsia="en-NZ"/>
        </w:rPr>
      </w:pPr>
      <w:r>
        <w:rPr>
          <w:caps/>
          <w:sz w:val="20"/>
        </w:rPr>
        <w:fldChar w:fldCharType="begin"/>
      </w:r>
      <w:r>
        <w:rPr>
          <w:caps/>
          <w:sz w:val="20"/>
        </w:rPr>
        <w:instrText xml:space="preserve"> TOC \o "2-2" \t "Heading 1,1" </w:instrText>
      </w:r>
      <w:r>
        <w:rPr>
          <w:caps/>
          <w:sz w:val="20"/>
        </w:rPr>
        <w:fldChar w:fldCharType="separate"/>
      </w:r>
      <w:r w:rsidR="00FC2344">
        <w:rPr>
          <w:noProof/>
        </w:rPr>
        <w:t>Introduction</w:t>
      </w:r>
      <w:r w:rsidR="00FC2344">
        <w:rPr>
          <w:noProof/>
        </w:rPr>
        <w:tab/>
      </w:r>
      <w:r w:rsidR="00FC2344">
        <w:rPr>
          <w:noProof/>
        </w:rPr>
        <w:fldChar w:fldCharType="begin"/>
      </w:r>
      <w:r w:rsidR="00FC2344">
        <w:rPr>
          <w:noProof/>
        </w:rPr>
        <w:instrText xml:space="preserve"> PAGEREF _Toc448737392 \h </w:instrText>
      </w:r>
      <w:r w:rsidR="00FC2344">
        <w:rPr>
          <w:noProof/>
        </w:rPr>
      </w:r>
      <w:r w:rsidR="00FC2344">
        <w:rPr>
          <w:noProof/>
        </w:rPr>
        <w:fldChar w:fldCharType="separate"/>
      </w:r>
      <w:r w:rsidR="00206D85">
        <w:rPr>
          <w:noProof/>
        </w:rPr>
        <w:t>1</w:t>
      </w:r>
      <w:r w:rsidR="00FC2344">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Background</w:t>
      </w:r>
      <w:r>
        <w:rPr>
          <w:noProof/>
        </w:rPr>
        <w:tab/>
      </w:r>
      <w:r>
        <w:rPr>
          <w:noProof/>
        </w:rPr>
        <w:fldChar w:fldCharType="begin"/>
      </w:r>
      <w:r>
        <w:rPr>
          <w:noProof/>
        </w:rPr>
        <w:instrText xml:space="preserve"> PAGEREF _Toc448737393 \h </w:instrText>
      </w:r>
      <w:r>
        <w:rPr>
          <w:noProof/>
        </w:rPr>
      </w:r>
      <w:r>
        <w:rPr>
          <w:noProof/>
        </w:rPr>
        <w:fldChar w:fldCharType="separate"/>
      </w:r>
      <w:r w:rsidR="00206D85">
        <w:rPr>
          <w:noProof/>
        </w:rPr>
        <w:t>1</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How the lung cancer service standards were reviewed</w:t>
      </w:r>
      <w:r>
        <w:rPr>
          <w:noProof/>
        </w:rPr>
        <w:tab/>
      </w:r>
      <w:r>
        <w:rPr>
          <w:noProof/>
        </w:rPr>
        <w:fldChar w:fldCharType="begin"/>
      </w:r>
      <w:r>
        <w:rPr>
          <w:noProof/>
        </w:rPr>
        <w:instrText xml:space="preserve"> PAGEREF _Toc448737394 \h </w:instrText>
      </w:r>
      <w:r>
        <w:rPr>
          <w:noProof/>
        </w:rPr>
      </w:r>
      <w:r>
        <w:rPr>
          <w:noProof/>
        </w:rPr>
        <w:fldChar w:fldCharType="separate"/>
      </w:r>
      <w:r w:rsidR="00206D85">
        <w:rPr>
          <w:noProof/>
        </w:rPr>
        <w:t>2</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Summary of changes to 2011 Service Standards</w:t>
      </w:r>
      <w:r>
        <w:rPr>
          <w:noProof/>
        </w:rPr>
        <w:tab/>
      </w:r>
      <w:r>
        <w:rPr>
          <w:noProof/>
        </w:rPr>
        <w:fldChar w:fldCharType="begin"/>
      </w:r>
      <w:r>
        <w:rPr>
          <w:noProof/>
        </w:rPr>
        <w:instrText xml:space="preserve"> PAGEREF _Toc448737395 \h </w:instrText>
      </w:r>
      <w:r>
        <w:rPr>
          <w:noProof/>
        </w:rPr>
      </w:r>
      <w:r>
        <w:rPr>
          <w:noProof/>
        </w:rPr>
        <w:fldChar w:fldCharType="separate"/>
      </w:r>
      <w:r w:rsidR="00206D85">
        <w:rPr>
          <w:noProof/>
        </w:rPr>
        <w:t>3</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 xml:space="preserve">Equity and </w:t>
      </w:r>
      <w:r w:rsidRPr="00B60BD0">
        <w:rPr>
          <w:noProof/>
          <w:lang w:val="mi-NZ"/>
        </w:rPr>
        <w:t>Whānau</w:t>
      </w:r>
      <w:r>
        <w:rPr>
          <w:noProof/>
        </w:rPr>
        <w:t xml:space="preserve"> Ora</w:t>
      </w:r>
      <w:r>
        <w:rPr>
          <w:noProof/>
        </w:rPr>
        <w:tab/>
      </w:r>
      <w:r>
        <w:rPr>
          <w:noProof/>
        </w:rPr>
        <w:fldChar w:fldCharType="begin"/>
      </w:r>
      <w:r>
        <w:rPr>
          <w:noProof/>
        </w:rPr>
        <w:instrText xml:space="preserve"> PAGEREF _Toc448737396 \h </w:instrText>
      </w:r>
      <w:r>
        <w:rPr>
          <w:noProof/>
        </w:rPr>
      </w:r>
      <w:r>
        <w:rPr>
          <w:noProof/>
        </w:rPr>
        <w:fldChar w:fldCharType="separate"/>
      </w:r>
      <w:r w:rsidR="00206D85">
        <w:rPr>
          <w:noProof/>
        </w:rPr>
        <w:t>4</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Format of the standards</w:t>
      </w:r>
      <w:r>
        <w:rPr>
          <w:noProof/>
        </w:rPr>
        <w:tab/>
      </w:r>
      <w:r>
        <w:rPr>
          <w:noProof/>
        </w:rPr>
        <w:fldChar w:fldCharType="begin"/>
      </w:r>
      <w:r>
        <w:rPr>
          <w:noProof/>
        </w:rPr>
        <w:instrText xml:space="preserve"> PAGEREF _Toc448737397 \h </w:instrText>
      </w:r>
      <w:r>
        <w:rPr>
          <w:noProof/>
        </w:rPr>
      </w:r>
      <w:r>
        <w:rPr>
          <w:noProof/>
        </w:rPr>
        <w:fldChar w:fldCharType="separate"/>
      </w:r>
      <w:r w:rsidR="00206D85">
        <w:rPr>
          <w:noProof/>
        </w:rPr>
        <w:t>5</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Standards of service provision pathway</w:t>
      </w:r>
      <w:r>
        <w:rPr>
          <w:noProof/>
        </w:rPr>
        <w:tab/>
      </w:r>
      <w:r>
        <w:rPr>
          <w:noProof/>
        </w:rPr>
        <w:fldChar w:fldCharType="begin"/>
      </w:r>
      <w:r>
        <w:rPr>
          <w:noProof/>
        </w:rPr>
        <w:instrText xml:space="preserve"> PAGEREF _Toc448737398 \h </w:instrText>
      </w:r>
      <w:r>
        <w:rPr>
          <w:noProof/>
        </w:rPr>
      </w:r>
      <w:r>
        <w:rPr>
          <w:noProof/>
        </w:rPr>
        <w:fldChar w:fldCharType="separate"/>
      </w:r>
      <w:r w:rsidR="00206D85">
        <w:rPr>
          <w:noProof/>
        </w:rPr>
        <w:t>6</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Summary of the clinical standards for the management of lung cancer services</w:t>
      </w:r>
      <w:r>
        <w:rPr>
          <w:noProof/>
        </w:rPr>
        <w:tab/>
      </w:r>
      <w:r>
        <w:rPr>
          <w:noProof/>
        </w:rPr>
        <w:fldChar w:fldCharType="begin"/>
      </w:r>
      <w:r>
        <w:rPr>
          <w:noProof/>
        </w:rPr>
        <w:instrText xml:space="preserve"> PAGEREF _Toc448737399 \h </w:instrText>
      </w:r>
      <w:r>
        <w:rPr>
          <w:noProof/>
        </w:rPr>
      </w:r>
      <w:r>
        <w:rPr>
          <w:noProof/>
        </w:rPr>
        <w:fldChar w:fldCharType="separate"/>
      </w:r>
      <w:r w:rsidR="00206D85">
        <w:rPr>
          <w:noProof/>
        </w:rPr>
        <w:t>6</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1</w:t>
      </w:r>
      <w:r>
        <w:rPr>
          <w:rFonts w:asciiTheme="minorHAnsi" w:eastAsiaTheme="minorEastAsia" w:hAnsiTheme="minorHAnsi" w:cstheme="minorBidi"/>
          <w:b w:val="0"/>
          <w:noProof/>
          <w:szCs w:val="22"/>
          <w:lang w:eastAsia="en-NZ"/>
        </w:rPr>
        <w:tab/>
      </w:r>
      <w:r>
        <w:rPr>
          <w:noProof/>
        </w:rPr>
        <w:t>Prevention and early identification</w:t>
      </w:r>
      <w:r>
        <w:rPr>
          <w:noProof/>
        </w:rPr>
        <w:tab/>
      </w:r>
      <w:r>
        <w:rPr>
          <w:noProof/>
        </w:rPr>
        <w:fldChar w:fldCharType="begin"/>
      </w:r>
      <w:r>
        <w:rPr>
          <w:noProof/>
        </w:rPr>
        <w:instrText xml:space="preserve"> PAGEREF _Toc448737400 \h </w:instrText>
      </w:r>
      <w:r>
        <w:rPr>
          <w:noProof/>
        </w:rPr>
      </w:r>
      <w:r>
        <w:rPr>
          <w:noProof/>
        </w:rPr>
        <w:fldChar w:fldCharType="separate"/>
      </w:r>
      <w:r w:rsidR="00206D85">
        <w:rPr>
          <w:noProof/>
        </w:rPr>
        <w:t>9</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1.1</w:t>
      </w:r>
      <w:r>
        <w:rPr>
          <w:noProof/>
        </w:rPr>
        <w:tab/>
      </w:r>
      <w:r>
        <w:rPr>
          <w:noProof/>
        </w:rPr>
        <w:fldChar w:fldCharType="begin"/>
      </w:r>
      <w:r>
        <w:rPr>
          <w:noProof/>
        </w:rPr>
        <w:instrText xml:space="preserve"> PAGEREF _Toc448737401 \h </w:instrText>
      </w:r>
      <w:r>
        <w:rPr>
          <w:noProof/>
        </w:rPr>
      </w:r>
      <w:r>
        <w:rPr>
          <w:noProof/>
        </w:rPr>
        <w:fldChar w:fldCharType="separate"/>
      </w:r>
      <w:r w:rsidR="00206D85">
        <w:rPr>
          <w:noProof/>
        </w:rPr>
        <w:t>9</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1.2</w:t>
      </w:r>
      <w:r>
        <w:rPr>
          <w:noProof/>
        </w:rPr>
        <w:tab/>
      </w:r>
      <w:r>
        <w:rPr>
          <w:noProof/>
        </w:rPr>
        <w:fldChar w:fldCharType="begin"/>
      </w:r>
      <w:r>
        <w:rPr>
          <w:noProof/>
        </w:rPr>
        <w:instrText xml:space="preserve"> PAGEREF _Toc448737402 \h </w:instrText>
      </w:r>
      <w:r>
        <w:rPr>
          <w:noProof/>
        </w:rPr>
      </w:r>
      <w:r>
        <w:rPr>
          <w:noProof/>
        </w:rPr>
        <w:fldChar w:fldCharType="separate"/>
      </w:r>
      <w:r w:rsidR="00206D85">
        <w:rPr>
          <w:noProof/>
        </w:rPr>
        <w:t>10</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1.3</w:t>
      </w:r>
      <w:r>
        <w:rPr>
          <w:noProof/>
        </w:rPr>
        <w:tab/>
      </w:r>
      <w:r>
        <w:rPr>
          <w:noProof/>
        </w:rPr>
        <w:fldChar w:fldCharType="begin"/>
      </w:r>
      <w:r>
        <w:rPr>
          <w:noProof/>
        </w:rPr>
        <w:instrText xml:space="preserve"> PAGEREF _Toc448737403 \h </w:instrText>
      </w:r>
      <w:r>
        <w:rPr>
          <w:noProof/>
        </w:rPr>
      </w:r>
      <w:r>
        <w:rPr>
          <w:noProof/>
        </w:rPr>
        <w:fldChar w:fldCharType="separate"/>
      </w:r>
      <w:r w:rsidR="00206D85">
        <w:rPr>
          <w:noProof/>
        </w:rPr>
        <w:t>11</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_Toc448737404 \h </w:instrText>
      </w:r>
      <w:r>
        <w:rPr>
          <w:noProof/>
        </w:rPr>
      </w:r>
      <w:r>
        <w:rPr>
          <w:noProof/>
        </w:rPr>
        <w:fldChar w:fldCharType="separate"/>
      </w:r>
      <w:r w:rsidR="00206D85">
        <w:rPr>
          <w:noProof/>
        </w:rPr>
        <w:t>11</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2</w:t>
      </w:r>
      <w:r>
        <w:rPr>
          <w:rFonts w:asciiTheme="minorHAnsi" w:eastAsiaTheme="minorEastAsia" w:hAnsiTheme="minorHAnsi" w:cstheme="minorBidi"/>
          <w:b w:val="0"/>
          <w:noProof/>
          <w:szCs w:val="22"/>
          <w:lang w:eastAsia="en-NZ"/>
        </w:rPr>
        <w:tab/>
      </w:r>
      <w:r>
        <w:rPr>
          <w:noProof/>
        </w:rPr>
        <w:t>Timely access to services</w:t>
      </w:r>
      <w:r>
        <w:rPr>
          <w:noProof/>
        </w:rPr>
        <w:tab/>
      </w:r>
      <w:r>
        <w:rPr>
          <w:noProof/>
        </w:rPr>
        <w:fldChar w:fldCharType="begin"/>
      </w:r>
      <w:r>
        <w:rPr>
          <w:noProof/>
        </w:rPr>
        <w:instrText xml:space="preserve"> PAGEREF _Toc448737405 \h </w:instrText>
      </w:r>
      <w:r>
        <w:rPr>
          <w:noProof/>
        </w:rPr>
      </w:r>
      <w:r>
        <w:rPr>
          <w:noProof/>
        </w:rPr>
        <w:fldChar w:fldCharType="separate"/>
      </w:r>
      <w:r w:rsidR="00206D85">
        <w:rPr>
          <w:noProof/>
        </w:rPr>
        <w:t>13</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2.1</w:t>
      </w:r>
      <w:r>
        <w:rPr>
          <w:noProof/>
        </w:rPr>
        <w:tab/>
      </w:r>
      <w:r>
        <w:rPr>
          <w:noProof/>
        </w:rPr>
        <w:fldChar w:fldCharType="begin"/>
      </w:r>
      <w:r>
        <w:rPr>
          <w:noProof/>
        </w:rPr>
        <w:instrText xml:space="preserve"> PAGEREF _Toc448737406 \h </w:instrText>
      </w:r>
      <w:r>
        <w:rPr>
          <w:noProof/>
        </w:rPr>
      </w:r>
      <w:r>
        <w:rPr>
          <w:noProof/>
        </w:rPr>
        <w:fldChar w:fldCharType="separate"/>
      </w:r>
      <w:r w:rsidR="00206D85">
        <w:rPr>
          <w:noProof/>
        </w:rPr>
        <w:t>13</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2.2</w:t>
      </w:r>
      <w:r>
        <w:rPr>
          <w:noProof/>
        </w:rPr>
        <w:tab/>
      </w:r>
      <w:r>
        <w:rPr>
          <w:noProof/>
        </w:rPr>
        <w:fldChar w:fldCharType="begin"/>
      </w:r>
      <w:r>
        <w:rPr>
          <w:noProof/>
        </w:rPr>
        <w:instrText xml:space="preserve"> PAGEREF _Toc448737407 \h </w:instrText>
      </w:r>
      <w:r>
        <w:rPr>
          <w:noProof/>
        </w:rPr>
      </w:r>
      <w:r>
        <w:rPr>
          <w:noProof/>
        </w:rPr>
        <w:fldChar w:fldCharType="separate"/>
      </w:r>
      <w:r w:rsidR="00206D85">
        <w:rPr>
          <w:noProof/>
        </w:rPr>
        <w:t>14</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_Toc448737408 \h </w:instrText>
      </w:r>
      <w:r>
        <w:rPr>
          <w:noProof/>
        </w:rPr>
      </w:r>
      <w:r>
        <w:rPr>
          <w:noProof/>
        </w:rPr>
        <w:fldChar w:fldCharType="separate"/>
      </w:r>
      <w:r w:rsidR="00206D85">
        <w:rPr>
          <w:noProof/>
        </w:rPr>
        <w:t>14</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3</w:t>
      </w:r>
      <w:r>
        <w:rPr>
          <w:rFonts w:asciiTheme="minorHAnsi" w:eastAsiaTheme="minorEastAsia" w:hAnsiTheme="minorHAnsi" w:cstheme="minorBidi"/>
          <w:b w:val="0"/>
          <w:noProof/>
          <w:szCs w:val="22"/>
          <w:lang w:eastAsia="en-NZ"/>
        </w:rPr>
        <w:tab/>
      </w:r>
      <w:r>
        <w:rPr>
          <w:noProof/>
        </w:rPr>
        <w:t>Referral and communication</w:t>
      </w:r>
      <w:r>
        <w:rPr>
          <w:noProof/>
        </w:rPr>
        <w:tab/>
      </w:r>
      <w:r>
        <w:rPr>
          <w:noProof/>
        </w:rPr>
        <w:fldChar w:fldCharType="begin"/>
      </w:r>
      <w:r>
        <w:rPr>
          <w:noProof/>
        </w:rPr>
        <w:instrText xml:space="preserve"> PAGEREF _Toc448737409 \h </w:instrText>
      </w:r>
      <w:r>
        <w:rPr>
          <w:noProof/>
        </w:rPr>
      </w:r>
      <w:r>
        <w:rPr>
          <w:noProof/>
        </w:rPr>
        <w:fldChar w:fldCharType="separate"/>
      </w:r>
      <w:r w:rsidR="00206D85">
        <w:rPr>
          <w:noProof/>
        </w:rPr>
        <w:t>15</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3.1</w:t>
      </w:r>
      <w:r>
        <w:rPr>
          <w:noProof/>
        </w:rPr>
        <w:tab/>
      </w:r>
      <w:r>
        <w:rPr>
          <w:noProof/>
        </w:rPr>
        <w:fldChar w:fldCharType="begin"/>
      </w:r>
      <w:r>
        <w:rPr>
          <w:noProof/>
        </w:rPr>
        <w:instrText xml:space="preserve"> PAGEREF _Toc448737410 \h </w:instrText>
      </w:r>
      <w:r>
        <w:rPr>
          <w:noProof/>
        </w:rPr>
      </w:r>
      <w:r>
        <w:rPr>
          <w:noProof/>
        </w:rPr>
        <w:fldChar w:fldCharType="separate"/>
      </w:r>
      <w:r w:rsidR="00206D85">
        <w:rPr>
          <w:noProof/>
        </w:rPr>
        <w:t>15</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4</w:t>
      </w:r>
      <w:r>
        <w:rPr>
          <w:rFonts w:asciiTheme="minorHAnsi" w:eastAsiaTheme="minorEastAsia" w:hAnsiTheme="minorHAnsi" w:cstheme="minorBidi"/>
          <w:b w:val="0"/>
          <w:noProof/>
          <w:szCs w:val="22"/>
          <w:lang w:eastAsia="en-NZ"/>
        </w:rPr>
        <w:tab/>
      </w:r>
      <w:r>
        <w:rPr>
          <w:noProof/>
        </w:rPr>
        <w:t>Investigations, diagnosis and staging</w:t>
      </w:r>
      <w:r>
        <w:rPr>
          <w:noProof/>
        </w:rPr>
        <w:tab/>
      </w:r>
      <w:r>
        <w:rPr>
          <w:noProof/>
        </w:rPr>
        <w:fldChar w:fldCharType="begin"/>
      </w:r>
      <w:r>
        <w:rPr>
          <w:noProof/>
        </w:rPr>
        <w:instrText xml:space="preserve"> PAGEREF _Toc448737411 \h </w:instrText>
      </w:r>
      <w:r>
        <w:rPr>
          <w:noProof/>
        </w:rPr>
      </w:r>
      <w:r>
        <w:rPr>
          <w:noProof/>
        </w:rPr>
        <w:fldChar w:fldCharType="separate"/>
      </w:r>
      <w:r w:rsidR="00206D85">
        <w:rPr>
          <w:noProof/>
        </w:rPr>
        <w:t>16</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4.1</w:t>
      </w:r>
      <w:r>
        <w:rPr>
          <w:noProof/>
        </w:rPr>
        <w:tab/>
      </w:r>
      <w:r>
        <w:rPr>
          <w:noProof/>
        </w:rPr>
        <w:fldChar w:fldCharType="begin"/>
      </w:r>
      <w:r>
        <w:rPr>
          <w:noProof/>
        </w:rPr>
        <w:instrText xml:space="preserve"> PAGEREF _Toc448737412 \h </w:instrText>
      </w:r>
      <w:r>
        <w:rPr>
          <w:noProof/>
        </w:rPr>
      </w:r>
      <w:r>
        <w:rPr>
          <w:noProof/>
        </w:rPr>
        <w:fldChar w:fldCharType="separate"/>
      </w:r>
      <w:r w:rsidR="00206D85">
        <w:rPr>
          <w:noProof/>
        </w:rPr>
        <w:t>16</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4.2</w:t>
      </w:r>
      <w:r>
        <w:rPr>
          <w:noProof/>
        </w:rPr>
        <w:tab/>
      </w:r>
      <w:r>
        <w:rPr>
          <w:noProof/>
        </w:rPr>
        <w:fldChar w:fldCharType="begin"/>
      </w:r>
      <w:r>
        <w:rPr>
          <w:noProof/>
        </w:rPr>
        <w:instrText xml:space="preserve"> PAGEREF _Toc448737413 \h </w:instrText>
      </w:r>
      <w:r>
        <w:rPr>
          <w:noProof/>
        </w:rPr>
      </w:r>
      <w:r>
        <w:rPr>
          <w:noProof/>
        </w:rPr>
        <w:fldChar w:fldCharType="separate"/>
      </w:r>
      <w:r w:rsidR="00206D85">
        <w:rPr>
          <w:noProof/>
        </w:rPr>
        <w:t>17</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4.3</w:t>
      </w:r>
      <w:r>
        <w:rPr>
          <w:noProof/>
        </w:rPr>
        <w:tab/>
      </w:r>
      <w:r>
        <w:rPr>
          <w:noProof/>
        </w:rPr>
        <w:fldChar w:fldCharType="begin"/>
      </w:r>
      <w:r>
        <w:rPr>
          <w:noProof/>
        </w:rPr>
        <w:instrText xml:space="preserve"> PAGEREF _Toc448737414 \h </w:instrText>
      </w:r>
      <w:r>
        <w:rPr>
          <w:noProof/>
        </w:rPr>
      </w:r>
      <w:r>
        <w:rPr>
          <w:noProof/>
        </w:rPr>
        <w:fldChar w:fldCharType="separate"/>
      </w:r>
      <w:r w:rsidR="00206D85">
        <w:rPr>
          <w:noProof/>
        </w:rPr>
        <w:t>18</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4.4</w:t>
      </w:r>
      <w:r>
        <w:rPr>
          <w:noProof/>
        </w:rPr>
        <w:tab/>
      </w:r>
      <w:r>
        <w:rPr>
          <w:noProof/>
        </w:rPr>
        <w:fldChar w:fldCharType="begin"/>
      </w:r>
      <w:r>
        <w:rPr>
          <w:noProof/>
        </w:rPr>
        <w:instrText xml:space="preserve"> PAGEREF _Toc448737415 \h </w:instrText>
      </w:r>
      <w:r>
        <w:rPr>
          <w:noProof/>
        </w:rPr>
      </w:r>
      <w:r>
        <w:rPr>
          <w:noProof/>
        </w:rPr>
        <w:fldChar w:fldCharType="separate"/>
      </w:r>
      <w:r w:rsidR="00206D85">
        <w:rPr>
          <w:noProof/>
        </w:rPr>
        <w:t>19</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4.5</w:t>
      </w:r>
      <w:r>
        <w:rPr>
          <w:noProof/>
        </w:rPr>
        <w:tab/>
      </w:r>
      <w:r>
        <w:rPr>
          <w:noProof/>
        </w:rPr>
        <w:fldChar w:fldCharType="begin"/>
      </w:r>
      <w:r>
        <w:rPr>
          <w:noProof/>
        </w:rPr>
        <w:instrText xml:space="preserve"> PAGEREF _Toc448737416 \h </w:instrText>
      </w:r>
      <w:r>
        <w:rPr>
          <w:noProof/>
        </w:rPr>
      </w:r>
      <w:r>
        <w:rPr>
          <w:noProof/>
        </w:rPr>
        <w:fldChar w:fldCharType="separate"/>
      </w:r>
      <w:r w:rsidR="00206D85">
        <w:rPr>
          <w:noProof/>
        </w:rPr>
        <w:t>20</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4.6</w:t>
      </w:r>
      <w:r>
        <w:rPr>
          <w:noProof/>
        </w:rPr>
        <w:tab/>
      </w:r>
      <w:r>
        <w:rPr>
          <w:noProof/>
        </w:rPr>
        <w:fldChar w:fldCharType="begin"/>
      </w:r>
      <w:r>
        <w:rPr>
          <w:noProof/>
        </w:rPr>
        <w:instrText xml:space="preserve"> PAGEREF _Toc448737417 \h </w:instrText>
      </w:r>
      <w:r>
        <w:rPr>
          <w:noProof/>
        </w:rPr>
      </w:r>
      <w:r>
        <w:rPr>
          <w:noProof/>
        </w:rPr>
        <w:fldChar w:fldCharType="separate"/>
      </w:r>
      <w:r w:rsidR="00206D85">
        <w:rPr>
          <w:noProof/>
        </w:rPr>
        <w:t>21</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_Toc448737418 \h </w:instrText>
      </w:r>
      <w:r>
        <w:rPr>
          <w:noProof/>
        </w:rPr>
      </w:r>
      <w:r>
        <w:rPr>
          <w:noProof/>
        </w:rPr>
        <w:fldChar w:fldCharType="separate"/>
      </w:r>
      <w:r w:rsidR="00206D85">
        <w:rPr>
          <w:noProof/>
        </w:rPr>
        <w:t>22</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5</w:t>
      </w:r>
      <w:r>
        <w:rPr>
          <w:rFonts w:asciiTheme="minorHAnsi" w:eastAsiaTheme="minorEastAsia" w:hAnsiTheme="minorHAnsi" w:cstheme="minorBidi"/>
          <w:b w:val="0"/>
          <w:noProof/>
          <w:szCs w:val="22"/>
          <w:lang w:eastAsia="en-NZ"/>
        </w:rPr>
        <w:tab/>
      </w:r>
      <w:r>
        <w:rPr>
          <w:noProof/>
        </w:rPr>
        <w:t>Multidisciplinary care</w:t>
      </w:r>
      <w:r>
        <w:rPr>
          <w:noProof/>
        </w:rPr>
        <w:tab/>
      </w:r>
      <w:r>
        <w:rPr>
          <w:noProof/>
        </w:rPr>
        <w:fldChar w:fldCharType="begin"/>
      </w:r>
      <w:r>
        <w:rPr>
          <w:noProof/>
        </w:rPr>
        <w:instrText xml:space="preserve"> PAGEREF _Toc448737419 \h </w:instrText>
      </w:r>
      <w:r>
        <w:rPr>
          <w:noProof/>
        </w:rPr>
      </w:r>
      <w:r>
        <w:rPr>
          <w:noProof/>
        </w:rPr>
        <w:fldChar w:fldCharType="separate"/>
      </w:r>
      <w:r w:rsidR="00206D85">
        <w:rPr>
          <w:noProof/>
        </w:rPr>
        <w:t>23</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5.1</w:t>
      </w:r>
      <w:r>
        <w:rPr>
          <w:noProof/>
        </w:rPr>
        <w:tab/>
      </w:r>
      <w:r>
        <w:rPr>
          <w:noProof/>
        </w:rPr>
        <w:fldChar w:fldCharType="begin"/>
      </w:r>
      <w:r>
        <w:rPr>
          <w:noProof/>
        </w:rPr>
        <w:instrText xml:space="preserve"> PAGEREF _Toc448737420 \h </w:instrText>
      </w:r>
      <w:r>
        <w:rPr>
          <w:noProof/>
        </w:rPr>
      </w:r>
      <w:r>
        <w:rPr>
          <w:noProof/>
        </w:rPr>
        <w:fldChar w:fldCharType="separate"/>
      </w:r>
      <w:r w:rsidR="00206D85">
        <w:rPr>
          <w:noProof/>
        </w:rPr>
        <w:t>23</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_Toc448737421 \h </w:instrText>
      </w:r>
      <w:r>
        <w:rPr>
          <w:noProof/>
        </w:rPr>
      </w:r>
      <w:r>
        <w:rPr>
          <w:noProof/>
        </w:rPr>
        <w:fldChar w:fldCharType="separate"/>
      </w:r>
      <w:r w:rsidR="00206D85">
        <w:rPr>
          <w:noProof/>
        </w:rPr>
        <w:t>24</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6</w:t>
      </w:r>
      <w:r>
        <w:rPr>
          <w:rFonts w:asciiTheme="minorHAnsi" w:eastAsiaTheme="minorEastAsia" w:hAnsiTheme="minorHAnsi" w:cstheme="minorBidi"/>
          <w:b w:val="0"/>
          <w:noProof/>
          <w:szCs w:val="22"/>
          <w:lang w:eastAsia="en-NZ"/>
        </w:rPr>
        <w:tab/>
      </w:r>
      <w:r>
        <w:rPr>
          <w:noProof/>
        </w:rPr>
        <w:t>Supportive care</w:t>
      </w:r>
      <w:r>
        <w:rPr>
          <w:noProof/>
        </w:rPr>
        <w:tab/>
      </w:r>
      <w:r>
        <w:rPr>
          <w:noProof/>
        </w:rPr>
        <w:fldChar w:fldCharType="begin"/>
      </w:r>
      <w:r>
        <w:rPr>
          <w:noProof/>
        </w:rPr>
        <w:instrText xml:space="preserve"> PAGEREF _Toc448737422 \h </w:instrText>
      </w:r>
      <w:r>
        <w:rPr>
          <w:noProof/>
        </w:rPr>
      </w:r>
      <w:r>
        <w:rPr>
          <w:noProof/>
        </w:rPr>
        <w:fldChar w:fldCharType="separate"/>
      </w:r>
      <w:r w:rsidR="00206D85">
        <w:rPr>
          <w:noProof/>
        </w:rPr>
        <w:t>25</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6.1</w:t>
      </w:r>
      <w:r>
        <w:rPr>
          <w:noProof/>
        </w:rPr>
        <w:tab/>
      </w:r>
      <w:r>
        <w:rPr>
          <w:noProof/>
        </w:rPr>
        <w:fldChar w:fldCharType="begin"/>
      </w:r>
      <w:r>
        <w:rPr>
          <w:noProof/>
        </w:rPr>
        <w:instrText xml:space="preserve"> PAGEREF _Toc448737423 \h </w:instrText>
      </w:r>
      <w:r>
        <w:rPr>
          <w:noProof/>
        </w:rPr>
      </w:r>
      <w:r>
        <w:rPr>
          <w:noProof/>
        </w:rPr>
        <w:fldChar w:fldCharType="separate"/>
      </w:r>
      <w:r w:rsidR="00206D85">
        <w:rPr>
          <w:noProof/>
        </w:rPr>
        <w:t>25</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_Toc448737424 \h </w:instrText>
      </w:r>
      <w:r>
        <w:rPr>
          <w:noProof/>
        </w:rPr>
      </w:r>
      <w:r>
        <w:rPr>
          <w:noProof/>
        </w:rPr>
        <w:fldChar w:fldCharType="separate"/>
      </w:r>
      <w:r w:rsidR="00206D85">
        <w:rPr>
          <w:noProof/>
        </w:rPr>
        <w:t>26</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lastRenderedPageBreak/>
        <w:t>7</w:t>
      </w:r>
      <w:r>
        <w:rPr>
          <w:rFonts w:asciiTheme="minorHAnsi" w:eastAsiaTheme="minorEastAsia" w:hAnsiTheme="minorHAnsi" w:cstheme="minorBidi"/>
          <w:b w:val="0"/>
          <w:noProof/>
          <w:szCs w:val="22"/>
          <w:lang w:eastAsia="en-NZ"/>
        </w:rPr>
        <w:tab/>
      </w:r>
      <w:r>
        <w:rPr>
          <w:noProof/>
        </w:rPr>
        <w:t>Care coordination</w:t>
      </w:r>
      <w:r>
        <w:rPr>
          <w:noProof/>
        </w:rPr>
        <w:tab/>
      </w:r>
      <w:r>
        <w:rPr>
          <w:noProof/>
        </w:rPr>
        <w:fldChar w:fldCharType="begin"/>
      </w:r>
      <w:r>
        <w:rPr>
          <w:noProof/>
        </w:rPr>
        <w:instrText xml:space="preserve"> PAGEREF _Toc448737425 \h </w:instrText>
      </w:r>
      <w:r>
        <w:rPr>
          <w:noProof/>
        </w:rPr>
      </w:r>
      <w:r>
        <w:rPr>
          <w:noProof/>
        </w:rPr>
        <w:fldChar w:fldCharType="separate"/>
      </w:r>
      <w:r w:rsidR="00206D85">
        <w:rPr>
          <w:noProof/>
        </w:rPr>
        <w:t>27</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7.1</w:t>
      </w:r>
      <w:r>
        <w:rPr>
          <w:noProof/>
        </w:rPr>
        <w:tab/>
      </w:r>
      <w:r>
        <w:rPr>
          <w:noProof/>
        </w:rPr>
        <w:fldChar w:fldCharType="begin"/>
      </w:r>
      <w:r>
        <w:rPr>
          <w:noProof/>
        </w:rPr>
        <w:instrText xml:space="preserve"> PAGEREF _Toc448737426 \h </w:instrText>
      </w:r>
      <w:r>
        <w:rPr>
          <w:noProof/>
        </w:rPr>
      </w:r>
      <w:r>
        <w:rPr>
          <w:noProof/>
        </w:rPr>
        <w:fldChar w:fldCharType="separate"/>
      </w:r>
      <w:r w:rsidR="00206D85">
        <w:rPr>
          <w:noProof/>
        </w:rPr>
        <w:t>27</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_Toc448737427 \h </w:instrText>
      </w:r>
      <w:r>
        <w:rPr>
          <w:noProof/>
        </w:rPr>
      </w:r>
      <w:r>
        <w:rPr>
          <w:noProof/>
        </w:rPr>
        <w:fldChar w:fldCharType="separate"/>
      </w:r>
      <w:r w:rsidR="00206D85">
        <w:rPr>
          <w:noProof/>
        </w:rPr>
        <w:t>28</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8</w:t>
      </w:r>
      <w:r>
        <w:rPr>
          <w:rFonts w:asciiTheme="minorHAnsi" w:eastAsiaTheme="minorEastAsia" w:hAnsiTheme="minorHAnsi" w:cstheme="minorBidi"/>
          <w:b w:val="0"/>
          <w:noProof/>
          <w:szCs w:val="22"/>
          <w:lang w:eastAsia="en-NZ"/>
        </w:rPr>
        <w:tab/>
      </w:r>
      <w:r>
        <w:rPr>
          <w:noProof/>
        </w:rPr>
        <w:t>Treatment</w:t>
      </w:r>
      <w:r>
        <w:rPr>
          <w:noProof/>
        </w:rPr>
        <w:tab/>
      </w:r>
      <w:r>
        <w:rPr>
          <w:noProof/>
        </w:rPr>
        <w:fldChar w:fldCharType="begin"/>
      </w:r>
      <w:r>
        <w:rPr>
          <w:noProof/>
        </w:rPr>
        <w:instrText xml:space="preserve"> PAGEREF _Toc448737428 \h </w:instrText>
      </w:r>
      <w:r>
        <w:rPr>
          <w:noProof/>
        </w:rPr>
      </w:r>
      <w:r>
        <w:rPr>
          <w:noProof/>
        </w:rPr>
        <w:fldChar w:fldCharType="separate"/>
      </w:r>
      <w:r w:rsidR="00206D85">
        <w:rPr>
          <w:noProof/>
        </w:rPr>
        <w:t>29</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8.1</w:t>
      </w:r>
      <w:r>
        <w:rPr>
          <w:noProof/>
        </w:rPr>
        <w:tab/>
      </w:r>
      <w:r>
        <w:rPr>
          <w:noProof/>
        </w:rPr>
        <w:fldChar w:fldCharType="begin"/>
      </w:r>
      <w:r>
        <w:rPr>
          <w:noProof/>
        </w:rPr>
        <w:instrText xml:space="preserve"> PAGEREF _Toc448737429 \h </w:instrText>
      </w:r>
      <w:r>
        <w:rPr>
          <w:noProof/>
        </w:rPr>
      </w:r>
      <w:r>
        <w:rPr>
          <w:noProof/>
        </w:rPr>
        <w:fldChar w:fldCharType="separate"/>
      </w:r>
      <w:r w:rsidR="00206D85">
        <w:rPr>
          <w:noProof/>
        </w:rPr>
        <w:t>29</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_Toc448737430 \h </w:instrText>
      </w:r>
      <w:r>
        <w:rPr>
          <w:noProof/>
        </w:rPr>
      </w:r>
      <w:r>
        <w:rPr>
          <w:noProof/>
        </w:rPr>
        <w:fldChar w:fldCharType="separate"/>
      </w:r>
      <w:r w:rsidR="00206D85">
        <w:rPr>
          <w:noProof/>
        </w:rPr>
        <w:t>30</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9</w:t>
      </w:r>
      <w:r>
        <w:rPr>
          <w:rFonts w:asciiTheme="minorHAnsi" w:eastAsiaTheme="minorEastAsia" w:hAnsiTheme="minorHAnsi" w:cstheme="minorBidi"/>
          <w:b w:val="0"/>
          <w:noProof/>
          <w:szCs w:val="22"/>
          <w:lang w:eastAsia="en-NZ"/>
        </w:rPr>
        <w:tab/>
      </w:r>
      <w:r>
        <w:rPr>
          <w:noProof/>
        </w:rPr>
        <w:t>Follow-up and surveillance</w:t>
      </w:r>
      <w:r>
        <w:rPr>
          <w:noProof/>
        </w:rPr>
        <w:tab/>
      </w:r>
      <w:r>
        <w:rPr>
          <w:noProof/>
        </w:rPr>
        <w:fldChar w:fldCharType="begin"/>
      </w:r>
      <w:r>
        <w:rPr>
          <w:noProof/>
        </w:rPr>
        <w:instrText xml:space="preserve"> PAGEREF _Toc448737431 \h </w:instrText>
      </w:r>
      <w:r>
        <w:rPr>
          <w:noProof/>
        </w:rPr>
      </w:r>
      <w:r>
        <w:rPr>
          <w:noProof/>
        </w:rPr>
        <w:fldChar w:fldCharType="separate"/>
      </w:r>
      <w:r w:rsidR="00206D85">
        <w:rPr>
          <w:noProof/>
        </w:rPr>
        <w:t>32</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9.1</w:t>
      </w:r>
      <w:r>
        <w:rPr>
          <w:noProof/>
        </w:rPr>
        <w:tab/>
      </w:r>
      <w:r>
        <w:rPr>
          <w:noProof/>
        </w:rPr>
        <w:fldChar w:fldCharType="begin"/>
      </w:r>
      <w:r>
        <w:rPr>
          <w:noProof/>
        </w:rPr>
        <w:instrText xml:space="preserve"> PAGEREF _Toc448737432 \h </w:instrText>
      </w:r>
      <w:r>
        <w:rPr>
          <w:noProof/>
        </w:rPr>
      </w:r>
      <w:r>
        <w:rPr>
          <w:noProof/>
        </w:rPr>
        <w:fldChar w:fldCharType="separate"/>
      </w:r>
      <w:r w:rsidR="00206D85">
        <w:rPr>
          <w:noProof/>
        </w:rPr>
        <w:t>32</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_Toc448737433 \h </w:instrText>
      </w:r>
      <w:r>
        <w:rPr>
          <w:noProof/>
        </w:rPr>
      </w:r>
      <w:r>
        <w:rPr>
          <w:noProof/>
        </w:rPr>
        <w:fldChar w:fldCharType="separate"/>
      </w:r>
      <w:r w:rsidR="00206D85">
        <w:rPr>
          <w:noProof/>
        </w:rPr>
        <w:t>33</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10</w:t>
      </w:r>
      <w:r>
        <w:rPr>
          <w:rFonts w:asciiTheme="minorHAnsi" w:eastAsiaTheme="minorEastAsia" w:hAnsiTheme="minorHAnsi" w:cstheme="minorBidi"/>
          <w:b w:val="0"/>
          <w:noProof/>
          <w:szCs w:val="22"/>
          <w:lang w:eastAsia="en-NZ"/>
        </w:rPr>
        <w:tab/>
      </w:r>
      <w:r>
        <w:rPr>
          <w:noProof/>
        </w:rPr>
        <w:t>Clinical performance monitoring and research</w:t>
      </w:r>
      <w:r>
        <w:rPr>
          <w:noProof/>
        </w:rPr>
        <w:tab/>
      </w:r>
      <w:r>
        <w:rPr>
          <w:noProof/>
        </w:rPr>
        <w:fldChar w:fldCharType="begin"/>
      </w:r>
      <w:r>
        <w:rPr>
          <w:noProof/>
        </w:rPr>
        <w:instrText xml:space="preserve"> PAGEREF _Toc448737434 \h </w:instrText>
      </w:r>
      <w:r>
        <w:rPr>
          <w:noProof/>
        </w:rPr>
      </w:r>
      <w:r>
        <w:rPr>
          <w:noProof/>
        </w:rPr>
        <w:fldChar w:fldCharType="separate"/>
      </w:r>
      <w:r w:rsidR="00206D85">
        <w:rPr>
          <w:noProof/>
        </w:rPr>
        <w:t>34</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10.1</w:t>
      </w:r>
      <w:r>
        <w:rPr>
          <w:noProof/>
        </w:rPr>
        <w:tab/>
      </w:r>
      <w:r>
        <w:rPr>
          <w:noProof/>
        </w:rPr>
        <w:fldChar w:fldCharType="begin"/>
      </w:r>
      <w:r>
        <w:rPr>
          <w:noProof/>
        </w:rPr>
        <w:instrText xml:space="preserve"> PAGEREF _Toc448737435 \h </w:instrText>
      </w:r>
      <w:r>
        <w:rPr>
          <w:noProof/>
        </w:rPr>
      </w:r>
      <w:r>
        <w:rPr>
          <w:noProof/>
        </w:rPr>
        <w:fldChar w:fldCharType="separate"/>
      </w:r>
      <w:r w:rsidR="00206D85">
        <w:rPr>
          <w:noProof/>
        </w:rPr>
        <w:t>34</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10.2</w:t>
      </w:r>
      <w:r>
        <w:rPr>
          <w:noProof/>
        </w:rPr>
        <w:tab/>
      </w:r>
      <w:r>
        <w:rPr>
          <w:noProof/>
        </w:rPr>
        <w:fldChar w:fldCharType="begin"/>
      </w:r>
      <w:r>
        <w:rPr>
          <w:noProof/>
        </w:rPr>
        <w:instrText xml:space="preserve"> PAGEREF _Toc448737436 \h </w:instrText>
      </w:r>
      <w:r>
        <w:rPr>
          <w:noProof/>
        </w:rPr>
      </w:r>
      <w:r>
        <w:rPr>
          <w:noProof/>
        </w:rPr>
        <w:fldChar w:fldCharType="separate"/>
      </w:r>
      <w:r w:rsidR="00206D85">
        <w:rPr>
          <w:noProof/>
        </w:rPr>
        <w:t>35</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Standard 10.3</w:t>
      </w:r>
      <w:r>
        <w:rPr>
          <w:noProof/>
        </w:rPr>
        <w:tab/>
      </w:r>
      <w:r>
        <w:rPr>
          <w:noProof/>
        </w:rPr>
        <w:fldChar w:fldCharType="begin"/>
      </w:r>
      <w:r>
        <w:rPr>
          <w:noProof/>
        </w:rPr>
        <w:instrText xml:space="preserve"> PAGEREF _Toc448737437 \h </w:instrText>
      </w:r>
      <w:r>
        <w:rPr>
          <w:noProof/>
        </w:rPr>
      </w:r>
      <w:r>
        <w:rPr>
          <w:noProof/>
        </w:rPr>
        <w:fldChar w:fldCharType="separate"/>
      </w:r>
      <w:r w:rsidR="00206D85">
        <w:rPr>
          <w:noProof/>
        </w:rPr>
        <w:t>36</w:t>
      </w:r>
      <w:r>
        <w:rPr>
          <w:noProof/>
        </w:rPr>
        <w:fldChar w:fldCharType="end"/>
      </w:r>
    </w:p>
    <w:p w:rsidR="00FC2344" w:rsidRDefault="00FC2344">
      <w:pPr>
        <w:pStyle w:val="TOC2"/>
        <w:rPr>
          <w:rFonts w:asciiTheme="minorHAnsi" w:eastAsiaTheme="minorEastAsia" w:hAnsiTheme="minorHAnsi" w:cstheme="minorBidi"/>
          <w:noProof/>
          <w:sz w:val="22"/>
          <w:szCs w:val="22"/>
          <w:lang w:eastAsia="en-NZ"/>
        </w:rPr>
      </w:pPr>
      <w:r>
        <w:rPr>
          <w:noProof/>
        </w:rPr>
        <w:t>Good practice points</w:t>
      </w:r>
      <w:r>
        <w:rPr>
          <w:noProof/>
        </w:rPr>
        <w:tab/>
      </w:r>
      <w:r>
        <w:rPr>
          <w:noProof/>
        </w:rPr>
        <w:fldChar w:fldCharType="begin"/>
      </w:r>
      <w:r>
        <w:rPr>
          <w:noProof/>
        </w:rPr>
        <w:instrText xml:space="preserve"> PAGEREF _Toc448737438 \h </w:instrText>
      </w:r>
      <w:r>
        <w:rPr>
          <w:noProof/>
        </w:rPr>
      </w:r>
      <w:r>
        <w:rPr>
          <w:noProof/>
        </w:rPr>
        <w:fldChar w:fldCharType="separate"/>
      </w:r>
      <w:r w:rsidR="00206D85">
        <w:rPr>
          <w:noProof/>
        </w:rPr>
        <w:t>36</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Appendix 1: National Lung Cancer Working Group Membership</w:t>
      </w:r>
      <w:r>
        <w:rPr>
          <w:noProof/>
        </w:rPr>
        <w:tab/>
      </w:r>
      <w:r>
        <w:rPr>
          <w:noProof/>
        </w:rPr>
        <w:fldChar w:fldCharType="begin"/>
      </w:r>
      <w:r>
        <w:rPr>
          <w:noProof/>
        </w:rPr>
        <w:instrText xml:space="preserve"> PAGEREF _Toc448737439 \h </w:instrText>
      </w:r>
      <w:r>
        <w:rPr>
          <w:noProof/>
        </w:rPr>
      </w:r>
      <w:r>
        <w:rPr>
          <w:noProof/>
        </w:rPr>
        <w:fldChar w:fldCharType="separate"/>
      </w:r>
      <w:r w:rsidR="00206D85">
        <w:rPr>
          <w:noProof/>
        </w:rPr>
        <w:t>37</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Appendix 2: Abbreviations used in this document</w:t>
      </w:r>
      <w:r>
        <w:rPr>
          <w:noProof/>
        </w:rPr>
        <w:tab/>
      </w:r>
      <w:r>
        <w:rPr>
          <w:noProof/>
        </w:rPr>
        <w:fldChar w:fldCharType="begin"/>
      </w:r>
      <w:r>
        <w:rPr>
          <w:noProof/>
        </w:rPr>
        <w:instrText xml:space="preserve"> PAGEREF _Toc448737440 \h </w:instrText>
      </w:r>
      <w:r>
        <w:rPr>
          <w:noProof/>
        </w:rPr>
      </w:r>
      <w:r>
        <w:rPr>
          <w:noProof/>
        </w:rPr>
        <w:fldChar w:fldCharType="separate"/>
      </w:r>
      <w:r w:rsidR="00206D85">
        <w:rPr>
          <w:noProof/>
        </w:rPr>
        <w:t>38</w:t>
      </w:r>
      <w:r>
        <w:rPr>
          <w:noProof/>
        </w:rPr>
        <w:fldChar w:fldCharType="end"/>
      </w:r>
    </w:p>
    <w:p w:rsidR="00FC2344" w:rsidRDefault="00FC2344">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_Toc448737441 \h </w:instrText>
      </w:r>
      <w:r>
        <w:rPr>
          <w:noProof/>
        </w:rPr>
      </w:r>
      <w:r>
        <w:rPr>
          <w:noProof/>
        </w:rPr>
        <w:fldChar w:fldCharType="separate"/>
      </w:r>
      <w:r w:rsidR="00206D85">
        <w:rPr>
          <w:noProof/>
        </w:rPr>
        <w:t>39</w:t>
      </w:r>
      <w:r>
        <w:rPr>
          <w:noProof/>
        </w:rPr>
        <w:fldChar w:fldCharType="end"/>
      </w:r>
    </w:p>
    <w:p w:rsidR="001757D8" w:rsidRDefault="002D0608" w:rsidP="001757D8">
      <w:r>
        <w:rPr>
          <w:rFonts w:eastAsia="Calibri" w:cs="Arial"/>
          <w:caps/>
          <w:sz w:val="20"/>
          <w:szCs w:val="20"/>
        </w:rPr>
        <w:fldChar w:fldCharType="end"/>
      </w:r>
    </w:p>
    <w:p w:rsidR="0029047E" w:rsidRDefault="0029047E" w:rsidP="00B23817">
      <w:pPr>
        <w:pStyle w:val="Heading1"/>
        <w:sectPr w:rsidR="0029047E" w:rsidSect="00542BEF">
          <w:footerReference w:type="even" r:id="rId21"/>
          <w:footerReference w:type="default" r:id="rId22"/>
          <w:pgSz w:w="11907" w:h="16839" w:code="9"/>
          <w:pgMar w:top="1985" w:right="1701" w:bottom="1418" w:left="2268" w:header="425" w:footer="425" w:gutter="0"/>
          <w:pgNumType w:fmt="lowerRoman"/>
          <w:cols w:space="708"/>
          <w:docGrid w:linePitch="360"/>
        </w:sectPr>
      </w:pPr>
      <w:bookmarkStart w:id="0" w:name="_Toc290903009"/>
      <w:bookmarkStart w:id="1" w:name="_Toc399763947"/>
    </w:p>
    <w:p w:rsidR="00E64E91" w:rsidRPr="006D748F" w:rsidRDefault="00E64E91" w:rsidP="00B23817">
      <w:pPr>
        <w:pStyle w:val="Heading1"/>
      </w:pPr>
      <w:bookmarkStart w:id="2" w:name="_Toc448737392"/>
      <w:r w:rsidRPr="00E64A91">
        <w:lastRenderedPageBreak/>
        <w:t>Introduction</w:t>
      </w:r>
      <w:bookmarkEnd w:id="0"/>
      <w:bookmarkEnd w:id="1"/>
      <w:bookmarkEnd w:id="2"/>
    </w:p>
    <w:p w:rsidR="00E64E91" w:rsidRPr="00217F3B" w:rsidRDefault="00E64E91" w:rsidP="00217F3B">
      <w:pPr>
        <w:pStyle w:val="Heading2"/>
      </w:pPr>
      <w:bookmarkStart w:id="3" w:name="_Toc399763948"/>
      <w:bookmarkStart w:id="4" w:name="_Toc448737393"/>
      <w:r w:rsidRPr="00A67DB4">
        <w:t>Background</w:t>
      </w:r>
      <w:bookmarkEnd w:id="3"/>
      <w:bookmarkEnd w:id="4"/>
    </w:p>
    <w:p w:rsidR="00E64E91" w:rsidRDefault="00E64E91" w:rsidP="002D0608">
      <w:r w:rsidRPr="00CA26CF">
        <w:t>Lung cancer has a significant social impact due to the high rates of morbidity and mortality associated</w:t>
      </w:r>
      <w:r>
        <w:t xml:space="preserve"> with the disease. Lung cancer mortality is higher in New Zealand than in some other Western nations. For example, New Zealand has a five-year relative survival of </w:t>
      </w:r>
      <w:r w:rsidR="00C037E7">
        <w:t>11</w:t>
      </w:r>
      <w:r w:rsidR="00B23817">
        <w:t xml:space="preserve"> percent</w:t>
      </w:r>
      <w:r w:rsidRPr="00E70811">
        <w:t>,</w:t>
      </w:r>
      <w:r>
        <w:t xml:space="preserve"> whereas Australia and Canada have five-year relative survivals of over </w:t>
      </w:r>
      <w:r w:rsidRPr="00E70811">
        <w:t>14</w:t>
      </w:r>
      <w:r w:rsidR="00B23817">
        <w:t xml:space="preserve"> percent</w:t>
      </w:r>
      <w:r w:rsidRPr="00E70811">
        <w:t>.</w:t>
      </w:r>
    </w:p>
    <w:p w:rsidR="00E64E91" w:rsidRDefault="00E64E91" w:rsidP="002D0608">
      <w:r>
        <w:t xml:space="preserve">There are also significant variations in outcomes across New Zealand, with a range in five-year relative survivals of approximately </w:t>
      </w:r>
      <w:r w:rsidRPr="00E70811">
        <w:t>4−5</w:t>
      </w:r>
      <w:r w:rsidR="00B23817">
        <w:t xml:space="preserve"> percent</w:t>
      </w:r>
      <w:r w:rsidRPr="00E70811">
        <w:t xml:space="preserve"> to 14</w:t>
      </w:r>
      <w:r w:rsidR="00B23817">
        <w:t xml:space="preserve"> percent</w:t>
      </w:r>
      <w:r w:rsidRPr="00E70811">
        <w:t>.</w:t>
      </w:r>
      <w:r>
        <w:t xml:space="preserve"> Part of this variation in local outcomes is likely to be due t</w:t>
      </w:r>
      <w:r w:rsidR="002D0608">
        <w:t>o different standards of care.</w:t>
      </w:r>
    </w:p>
    <w:p w:rsidR="00E64E91" w:rsidRDefault="00E64E91" w:rsidP="002D0608">
      <w:r>
        <w:t>Large ethnic disparities are seen not only in the incidence of lung cancer</w:t>
      </w:r>
      <w:r w:rsidR="001B2172">
        <w:t>,</w:t>
      </w:r>
      <w:r>
        <w:t xml:space="preserve"> but also in outcomes. While some of these disparities can be explained by the lower relative socioeconomic status of minority ethnic groups in New Zealand, it is likely that higher tobacco use among Māori and Pacific people is an important contributor to the increased incidence of lung cancer in these populations. Mortality disparities are largely due to a significant number of cases not being diagnosed unti</w:t>
      </w:r>
      <w:r w:rsidR="002D0608">
        <w:t>l the disease is well advanced.</w:t>
      </w:r>
    </w:p>
    <w:p w:rsidR="008C3769" w:rsidRDefault="00E64E91" w:rsidP="00B23817">
      <w:pPr>
        <w:spacing w:after="120"/>
        <w:rPr>
          <w:rFonts w:cs="Arial"/>
          <w:szCs w:val="22"/>
        </w:rPr>
      </w:pPr>
      <w:r>
        <w:rPr>
          <w:rFonts w:cs="Arial"/>
          <w:szCs w:val="22"/>
        </w:rPr>
        <w:t xml:space="preserve">The National Lung Cancer Working Group (NLCWG) </w:t>
      </w:r>
      <w:r w:rsidR="00C67EAC">
        <w:rPr>
          <w:rFonts w:cs="Arial"/>
          <w:szCs w:val="22"/>
        </w:rPr>
        <w:t xml:space="preserve">developed the </w:t>
      </w:r>
      <w:r w:rsidR="00C67EAC" w:rsidRPr="00FB60E9">
        <w:rPr>
          <w:rFonts w:cs="Arial"/>
          <w:i/>
          <w:szCs w:val="22"/>
        </w:rPr>
        <w:t>Standards of</w:t>
      </w:r>
      <w:r w:rsidR="0026780D" w:rsidRPr="00FB60E9">
        <w:rPr>
          <w:rFonts w:cs="Arial"/>
          <w:i/>
          <w:szCs w:val="22"/>
        </w:rPr>
        <w:t xml:space="preserve"> </w:t>
      </w:r>
      <w:r w:rsidR="00C67EAC" w:rsidRPr="00FB60E9">
        <w:rPr>
          <w:rFonts w:cs="Arial"/>
          <w:i/>
          <w:szCs w:val="22"/>
        </w:rPr>
        <w:t>Service Provision for Lung Cancer Patients in New Zealand</w:t>
      </w:r>
      <w:r w:rsidR="00C67EAC" w:rsidRPr="00C67EAC">
        <w:rPr>
          <w:rFonts w:cs="Arial"/>
          <w:szCs w:val="22"/>
        </w:rPr>
        <w:t xml:space="preserve"> </w:t>
      </w:r>
      <w:r w:rsidR="00C67EAC">
        <w:rPr>
          <w:rFonts w:cs="Arial"/>
          <w:szCs w:val="22"/>
        </w:rPr>
        <w:t xml:space="preserve">in 2011 </w:t>
      </w:r>
      <w:r>
        <w:rPr>
          <w:rFonts w:cs="Arial"/>
          <w:szCs w:val="22"/>
        </w:rPr>
        <w:t xml:space="preserve">in a bid to improve outcomes for lung cancer </w:t>
      </w:r>
      <w:r w:rsidR="00C67EAC">
        <w:rPr>
          <w:rFonts w:cs="Arial"/>
          <w:szCs w:val="22"/>
        </w:rPr>
        <w:t xml:space="preserve">patients </w:t>
      </w:r>
      <w:r>
        <w:rPr>
          <w:rFonts w:cs="Arial"/>
          <w:szCs w:val="22"/>
        </w:rPr>
        <w:t xml:space="preserve">and reduce inequalities associated with this disease. </w:t>
      </w:r>
      <w:r w:rsidR="008C3769">
        <w:rPr>
          <w:rFonts w:cs="Arial"/>
          <w:szCs w:val="22"/>
        </w:rPr>
        <w:t xml:space="preserve">The NLCWG has </w:t>
      </w:r>
      <w:r w:rsidR="002D3ADB">
        <w:rPr>
          <w:rFonts w:cs="Arial"/>
          <w:szCs w:val="22"/>
        </w:rPr>
        <w:t xml:space="preserve">now </w:t>
      </w:r>
      <w:r w:rsidR="00C9400B">
        <w:rPr>
          <w:rFonts w:cs="Arial"/>
          <w:szCs w:val="22"/>
        </w:rPr>
        <w:t>reviewed</w:t>
      </w:r>
      <w:r w:rsidR="008C3769">
        <w:rPr>
          <w:rFonts w:cs="Arial"/>
          <w:szCs w:val="22"/>
        </w:rPr>
        <w:t xml:space="preserve"> the standards </w:t>
      </w:r>
      <w:r w:rsidR="00C9400B">
        <w:rPr>
          <w:rFonts w:cs="Arial"/>
          <w:szCs w:val="22"/>
        </w:rPr>
        <w:t xml:space="preserve">to keep them </w:t>
      </w:r>
      <w:r w:rsidR="008C3769">
        <w:rPr>
          <w:rFonts w:cs="Arial"/>
          <w:szCs w:val="22"/>
        </w:rPr>
        <w:t>up to date in the context of New Zealand health</w:t>
      </w:r>
      <w:r w:rsidR="00C9400B">
        <w:rPr>
          <w:rFonts w:cs="Arial"/>
          <w:szCs w:val="22"/>
        </w:rPr>
        <w:t xml:space="preserve"> </w:t>
      </w:r>
      <w:r w:rsidR="008C3769">
        <w:rPr>
          <w:rFonts w:cs="Arial"/>
          <w:szCs w:val="22"/>
        </w:rPr>
        <w:t>care.</w:t>
      </w:r>
    </w:p>
    <w:p w:rsidR="002D0608" w:rsidRDefault="00E64E91" w:rsidP="00B23817">
      <w:pPr>
        <w:spacing w:after="120"/>
        <w:rPr>
          <w:rFonts w:cs="Arial"/>
          <w:szCs w:val="22"/>
        </w:rPr>
      </w:pPr>
      <w:r>
        <w:rPr>
          <w:rFonts w:cs="Arial"/>
          <w:szCs w:val="22"/>
        </w:rPr>
        <w:t xml:space="preserve">The NLCWG developed these standards based on the assumption that </w:t>
      </w:r>
      <w:r w:rsidR="00C9400B">
        <w:rPr>
          <w:rFonts w:cs="Arial"/>
          <w:szCs w:val="22"/>
        </w:rPr>
        <w:t xml:space="preserve">the appropriate governing bodies have </w:t>
      </w:r>
      <w:proofErr w:type="spellStart"/>
      <w:r w:rsidR="00C9400B">
        <w:rPr>
          <w:rFonts w:cs="Arial"/>
          <w:szCs w:val="22"/>
        </w:rPr>
        <w:t>credentialled</w:t>
      </w:r>
      <w:proofErr w:type="spellEnd"/>
      <w:r w:rsidR="00C9400B">
        <w:rPr>
          <w:rFonts w:cs="Arial"/>
          <w:szCs w:val="22"/>
        </w:rPr>
        <w:t xml:space="preserve"> the </w:t>
      </w:r>
      <w:r>
        <w:rPr>
          <w:rFonts w:cs="Arial"/>
          <w:szCs w:val="22"/>
        </w:rPr>
        <w:t xml:space="preserve">various clinical staff, laboratories and other special investigations </w:t>
      </w:r>
      <w:r w:rsidR="00C9400B">
        <w:rPr>
          <w:rFonts w:cs="Arial"/>
          <w:szCs w:val="22"/>
        </w:rPr>
        <w:t>involved</w:t>
      </w:r>
      <w:r>
        <w:rPr>
          <w:rFonts w:cs="Arial"/>
          <w:szCs w:val="22"/>
        </w:rPr>
        <w:t>.</w:t>
      </w:r>
    </w:p>
    <w:p w:rsidR="002D0608" w:rsidRDefault="00E64E91" w:rsidP="00B23817">
      <w:pPr>
        <w:spacing w:after="120"/>
        <w:rPr>
          <w:rFonts w:cs="Arial"/>
          <w:szCs w:val="22"/>
        </w:rPr>
      </w:pPr>
      <w:r>
        <w:rPr>
          <w:rFonts w:cs="Arial"/>
          <w:szCs w:val="22"/>
        </w:rPr>
        <w:t xml:space="preserve">By </w:t>
      </w:r>
      <w:r w:rsidR="008C3769">
        <w:rPr>
          <w:rFonts w:cs="Arial"/>
          <w:szCs w:val="22"/>
        </w:rPr>
        <w:t>revising the</w:t>
      </w:r>
      <w:r>
        <w:rPr>
          <w:rFonts w:cs="Arial"/>
          <w:szCs w:val="22"/>
        </w:rPr>
        <w:t xml:space="preserve"> national standards </w:t>
      </w:r>
      <w:r w:rsidR="00787A74">
        <w:rPr>
          <w:rFonts w:cs="Arial"/>
          <w:szCs w:val="22"/>
        </w:rPr>
        <w:t>the NLCWG</w:t>
      </w:r>
      <w:r w:rsidR="008C3769">
        <w:rPr>
          <w:rFonts w:cs="Arial"/>
          <w:szCs w:val="22"/>
        </w:rPr>
        <w:t xml:space="preserve"> continue</w:t>
      </w:r>
      <w:r w:rsidR="00787A74">
        <w:rPr>
          <w:rFonts w:cs="Arial"/>
          <w:szCs w:val="22"/>
        </w:rPr>
        <w:t>s</w:t>
      </w:r>
      <w:r w:rsidR="008C3769">
        <w:rPr>
          <w:rFonts w:cs="Arial"/>
          <w:szCs w:val="22"/>
        </w:rPr>
        <w:t xml:space="preserve"> to</w:t>
      </w:r>
      <w:r>
        <w:rPr>
          <w:rFonts w:cs="Arial"/>
          <w:szCs w:val="22"/>
        </w:rPr>
        <w:t xml:space="preserve"> aim to improve the overall care of all patients with lung cancer.</w:t>
      </w:r>
    </w:p>
    <w:p w:rsidR="002D0608" w:rsidRDefault="000F0563" w:rsidP="00B23817">
      <w:pPr>
        <w:spacing w:after="120"/>
        <w:rPr>
          <w:rFonts w:cs="Arial"/>
          <w:szCs w:val="22"/>
        </w:rPr>
      </w:pPr>
      <w:r>
        <w:rPr>
          <w:rFonts w:cs="Arial"/>
          <w:szCs w:val="22"/>
        </w:rPr>
        <w:t>Although there have been improvement</w:t>
      </w:r>
      <w:r w:rsidR="000D321C">
        <w:rPr>
          <w:rFonts w:cs="Arial"/>
          <w:szCs w:val="22"/>
        </w:rPr>
        <w:t>s</w:t>
      </w:r>
      <w:r w:rsidR="00C9400B">
        <w:rPr>
          <w:rFonts w:cs="Arial"/>
          <w:szCs w:val="22"/>
        </w:rPr>
        <w:t xml:space="preserve"> since these standards were first published</w:t>
      </w:r>
      <w:r w:rsidR="00DB6F9A">
        <w:rPr>
          <w:rFonts w:cs="Arial"/>
          <w:szCs w:val="22"/>
        </w:rPr>
        <w:t>,</w:t>
      </w:r>
      <w:r w:rsidR="000D321C">
        <w:rPr>
          <w:rFonts w:cs="Arial"/>
          <w:szCs w:val="22"/>
        </w:rPr>
        <w:t xml:space="preserve"> </w:t>
      </w:r>
      <w:r w:rsidR="00DB6F9A">
        <w:rPr>
          <w:rFonts w:cs="Arial"/>
          <w:szCs w:val="22"/>
        </w:rPr>
        <w:t>d</w:t>
      </w:r>
      <w:r w:rsidR="00E64A91">
        <w:rPr>
          <w:rFonts w:cs="Arial"/>
          <w:szCs w:val="22"/>
        </w:rPr>
        <w:t>elays in a</w:t>
      </w:r>
      <w:r>
        <w:rPr>
          <w:rFonts w:cs="Arial"/>
          <w:szCs w:val="22"/>
        </w:rPr>
        <w:t xml:space="preserve">ccess to first specialist assessment, diagnostic tests and definitive treatment </w:t>
      </w:r>
      <w:r w:rsidR="000D321C">
        <w:rPr>
          <w:rFonts w:cs="Arial"/>
          <w:szCs w:val="22"/>
        </w:rPr>
        <w:t>remain area</w:t>
      </w:r>
      <w:r w:rsidR="00311017">
        <w:rPr>
          <w:rFonts w:cs="Arial"/>
          <w:szCs w:val="22"/>
        </w:rPr>
        <w:t>s</w:t>
      </w:r>
      <w:r w:rsidR="000D321C">
        <w:rPr>
          <w:rFonts w:cs="Arial"/>
          <w:szCs w:val="22"/>
        </w:rPr>
        <w:t xml:space="preserve"> for </w:t>
      </w:r>
      <w:r w:rsidR="00114ED3">
        <w:rPr>
          <w:rFonts w:cs="Arial"/>
          <w:szCs w:val="22"/>
        </w:rPr>
        <w:t>improvement. Access</w:t>
      </w:r>
      <w:r w:rsidR="00F704AB">
        <w:rPr>
          <w:rFonts w:cs="Arial"/>
          <w:szCs w:val="22"/>
        </w:rPr>
        <w:t xml:space="preserve"> to p</w:t>
      </w:r>
      <w:r>
        <w:rPr>
          <w:rFonts w:cs="Arial"/>
          <w:szCs w:val="22"/>
        </w:rPr>
        <w:t>alliative care services</w:t>
      </w:r>
      <w:r w:rsidR="00F704AB">
        <w:rPr>
          <w:rFonts w:cs="Arial"/>
          <w:szCs w:val="22"/>
        </w:rPr>
        <w:t xml:space="preserve"> across New Zealand</w:t>
      </w:r>
      <w:r w:rsidR="00114ED3">
        <w:rPr>
          <w:rFonts w:cs="Arial"/>
          <w:szCs w:val="22"/>
        </w:rPr>
        <w:t xml:space="preserve"> </w:t>
      </w:r>
      <w:r w:rsidR="00F704AB">
        <w:rPr>
          <w:rFonts w:cs="Arial"/>
          <w:szCs w:val="22"/>
        </w:rPr>
        <w:t>is currently inequitable</w:t>
      </w:r>
      <w:r w:rsidR="00C9400B">
        <w:rPr>
          <w:rFonts w:cs="Arial"/>
          <w:szCs w:val="22"/>
        </w:rPr>
        <w:t>,</w:t>
      </w:r>
      <w:r>
        <w:rPr>
          <w:rFonts w:cs="Arial"/>
          <w:szCs w:val="22"/>
        </w:rPr>
        <w:t xml:space="preserve"> and the ability to capture</w:t>
      </w:r>
      <w:r w:rsidR="002D3ADB">
        <w:rPr>
          <w:rFonts w:cs="Arial"/>
          <w:szCs w:val="22"/>
        </w:rPr>
        <w:t xml:space="preserve"> and audit data for lung cancer patients</w:t>
      </w:r>
      <w:r w:rsidR="008C4568">
        <w:rPr>
          <w:rFonts w:cs="Arial"/>
          <w:szCs w:val="22"/>
        </w:rPr>
        <w:t xml:space="preserve"> needs attention.</w:t>
      </w:r>
    </w:p>
    <w:p w:rsidR="002D0608" w:rsidRDefault="00C2682F" w:rsidP="00B23817">
      <w:pPr>
        <w:spacing w:after="120"/>
        <w:rPr>
          <w:rFonts w:cs="Arial"/>
          <w:szCs w:val="22"/>
        </w:rPr>
      </w:pPr>
      <w:r w:rsidRPr="00C2682F">
        <w:rPr>
          <w:rFonts w:cs="Arial"/>
          <w:szCs w:val="22"/>
        </w:rPr>
        <w:t xml:space="preserve">In general, </w:t>
      </w:r>
      <w:r w:rsidR="00C9400B">
        <w:rPr>
          <w:rFonts w:cs="Arial"/>
          <w:szCs w:val="22"/>
        </w:rPr>
        <w:t xml:space="preserve">services are managing </w:t>
      </w:r>
      <w:r w:rsidRPr="00C2682F">
        <w:rPr>
          <w:rFonts w:cs="Arial"/>
          <w:szCs w:val="22"/>
        </w:rPr>
        <w:t>patients receiving active cancer treatments appropriately</w:t>
      </w:r>
      <w:r w:rsidR="00C9400B">
        <w:rPr>
          <w:rFonts w:cs="Arial"/>
          <w:szCs w:val="22"/>
        </w:rPr>
        <w:t>,</w:t>
      </w:r>
      <w:r w:rsidRPr="00C2682F">
        <w:rPr>
          <w:rFonts w:cs="Arial"/>
          <w:szCs w:val="22"/>
        </w:rPr>
        <w:t xml:space="preserve"> and so </w:t>
      </w:r>
      <w:r w:rsidR="00C9400B">
        <w:rPr>
          <w:rFonts w:cs="Arial"/>
          <w:szCs w:val="22"/>
        </w:rPr>
        <w:t xml:space="preserve">the NLCWG </w:t>
      </w:r>
      <w:r w:rsidRPr="00C2682F">
        <w:rPr>
          <w:rFonts w:cs="Arial"/>
          <w:szCs w:val="22"/>
        </w:rPr>
        <w:t xml:space="preserve">agreed that no major changes were required to the standards relating </w:t>
      </w:r>
      <w:r>
        <w:rPr>
          <w:rFonts w:cs="Arial"/>
          <w:szCs w:val="22"/>
        </w:rPr>
        <w:t>to active anti-cancer treatment.</w:t>
      </w:r>
    </w:p>
    <w:p w:rsidR="002D3ADB" w:rsidRDefault="00C2682F" w:rsidP="00B23817">
      <w:pPr>
        <w:spacing w:after="120"/>
        <w:rPr>
          <w:rFonts w:cs="Arial"/>
          <w:szCs w:val="22"/>
        </w:rPr>
      </w:pPr>
      <w:r w:rsidRPr="00C2682F">
        <w:rPr>
          <w:szCs w:val="22"/>
        </w:rPr>
        <w:lastRenderedPageBreak/>
        <w:t xml:space="preserve">By contrast, </w:t>
      </w:r>
      <w:r w:rsidR="001D42A4">
        <w:rPr>
          <w:szCs w:val="22"/>
        </w:rPr>
        <w:t>t</w:t>
      </w:r>
      <w:r w:rsidRPr="00C2682F">
        <w:rPr>
          <w:szCs w:val="22"/>
        </w:rPr>
        <w:t xml:space="preserve">here is a real need to </w:t>
      </w:r>
      <w:r w:rsidR="0032224F">
        <w:rPr>
          <w:szCs w:val="22"/>
        </w:rPr>
        <w:t>achieve higher rates of</w:t>
      </w:r>
      <w:r w:rsidRPr="00C2682F">
        <w:rPr>
          <w:szCs w:val="22"/>
        </w:rPr>
        <w:t xml:space="preserve"> early presentation</w:t>
      </w:r>
      <w:r w:rsidR="001D42A4">
        <w:rPr>
          <w:szCs w:val="22"/>
        </w:rPr>
        <w:t xml:space="preserve"> of lung cancer</w:t>
      </w:r>
      <w:r w:rsidR="007D24B9">
        <w:rPr>
          <w:szCs w:val="22"/>
        </w:rPr>
        <w:t>. Patients with earlier stage lung cancer have improved outcomes</w:t>
      </w:r>
      <w:r w:rsidR="002D3ADB" w:rsidRPr="00C2682F">
        <w:rPr>
          <w:rFonts w:cs="Arial"/>
          <w:szCs w:val="22"/>
        </w:rPr>
        <w:t>.</w:t>
      </w:r>
      <w:r w:rsidR="002D3ADB">
        <w:rPr>
          <w:rFonts w:cs="Arial"/>
          <w:szCs w:val="22"/>
        </w:rPr>
        <w:t xml:space="preserve"> </w:t>
      </w:r>
      <w:r w:rsidR="001D42A4">
        <w:rPr>
          <w:rFonts w:cs="Arial"/>
          <w:szCs w:val="22"/>
        </w:rPr>
        <w:t xml:space="preserve">Therefore, </w:t>
      </w:r>
      <w:r w:rsidR="007D3FC4">
        <w:rPr>
          <w:rFonts w:cs="Arial"/>
          <w:szCs w:val="22"/>
        </w:rPr>
        <w:t xml:space="preserve">primary care is a target audience for the </w:t>
      </w:r>
      <w:r w:rsidR="001D42A4">
        <w:rPr>
          <w:rFonts w:cs="Arial"/>
          <w:szCs w:val="22"/>
        </w:rPr>
        <w:t>new</w:t>
      </w:r>
      <w:r w:rsidR="002D3ADB">
        <w:rPr>
          <w:rFonts w:cs="Arial"/>
          <w:szCs w:val="22"/>
        </w:rPr>
        <w:t xml:space="preserve"> standards </w:t>
      </w:r>
      <w:r w:rsidR="001D42A4">
        <w:rPr>
          <w:rFonts w:cs="Arial"/>
          <w:szCs w:val="22"/>
        </w:rPr>
        <w:t xml:space="preserve">are </w:t>
      </w:r>
      <w:r w:rsidR="002D3ADB">
        <w:rPr>
          <w:rFonts w:cs="Arial"/>
          <w:szCs w:val="22"/>
        </w:rPr>
        <w:t>aimed at primary care</w:t>
      </w:r>
      <w:r w:rsidR="001D42A4">
        <w:rPr>
          <w:rFonts w:cs="Arial"/>
          <w:szCs w:val="22"/>
        </w:rPr>
        <w:t>,</w:t>
      </w:r>
      <w:r w:rsidR="002D3ADB">
        <w:rPr>
          <w:rFonts w:cs="Arial"/>
          <w:szCs w:val="22"/>
        </w:rPr>
        <w:t xml:space="preserve"> to encourage more chest </w:t>
      </w:r>
      <w:r w:rsidR="00C108E3">
        <w:rPr>
          <w:rFonts w:cs="Arial"/>
          <w:szCs w:val="22"/>
        </w:rPr>
        <w:t>X</w:t>
      </w:r>
      <w:r w:rsidR="002D3ADB">
        <w:rPr>
          <w:rFonts w:cs="Arial"/>
          <w:szCs w:val="22"/>
        </w:rPr>
        <w:t>-rays in high</w:t>
      </w:r>
      <w:r w:rsidR="001D42A4">
        <w:rPr>
          <w:rFonts w:cs="Arial"/>
          <w:szCs w:val="22"/>
        </w:rPr>
        <w:t>-</w:t>
      </w:r>
      <w:r w:rsidR="002D3ADB">
        <w:rPr>
          <w:rFonts w:cs="Arial"/>
          <w:szCs w:val="22"/>
        </w:rPr>
        <w:t>risk individuals. The</w:t>
      </w:r>
      <w:r w:rsidR="007D3FC4">
        <w:rPr>
          <w:rFonts w:cs="Arial"/>
          <w:szCs w:val="22"/>
        </w:rPr>
        <w:t xml:space="preserve"> stand</w:t>
      </w:r>
      <w:r w:rsidR="00BE4D35">
        <w:rPr>
          <w:rFonts w:cs="Arial"/>
          <w:szCs w:val="22"/>
        </w:rPr>
        <w:t>ar</w:t>
      </w:r>
      <w:r w:rsidR="007D3FC4">
        <w:rPr>
          <w:rFonts w:cs="Arial"/>
          <w:szCs w:val="22"/>
        </w:rPr>
        <w:t>ds</w:t>
      </w:r>
      <w:r w:rsidR="002D3ADB">
        <w:rPr>
          <w:rFonts w:cs="Arial"/>
          <w:szCs w:val="22"/>
        </w:rPr>
        <w:t xml:space="preserve"> also address the issue of imaging that identifies an incidental finding suggestive of cancer.</w:t>
      </w:r>
      <w:r w:rsidR="001D42A4">
        <w:rPr>
          <w:rFonts w:cs="Arial"/>
          <w:szCs w:val="22"/>
        </w:rPr>
        <w:t xml:space="preserve"> In presenting these standards, the NLCWG acknowledges that more research is required in New Zealand on screening.</w:t>
      </w:r>
    </w:p>
    <w:p w:rsidR="002D0608" w:rsidRDefault="00DB6F9A" w:rsidP="00B23817">
      <w:pPr>
        <w:spacing w:after="120"/>
        <w:rPr>
          <w:rFonts w:cs="Arial"/>
          <w:szCs w:val="22"/>
        </w:rPr>
      </w:pPr>
      <w:r>
        <w:rPr>
          <w:rFonts w:cs="Arial"/>
          <w:szCs w:val="22"/>
        </w:rPr>
        <w:t>Regional reviews against the lung cancer standards identified</w:t>
      </w:r>
      <w:r w:rsidR="006376C8">
        <w:rPr>
          <w:rFonts w:cs="Arial"/>
          <w:szCs w:val="22"/>
        </w:rPr>
        <w:t xml:space="preserve"> the lack of measures or performance indicators </w:t>
      </w:r>
      <w:r>
        <w:rPr>
          <w:rFonts w:cs="Arial"/>
          <w:szCs w:val="22"/>
        </w:rPr>
        <w:t>for</w:t>
      </w:r>
      <w:r w:rsidR="006376C8">
        <w:rPr>
          <w:rFonts w:cs="Arial"/>
          <w:szCs w:val="22"/>
        </w:rPr>
        <w:t xml:space="preserve"> each standard</w:t>
      </w:r>
      <w:r w:rsidR="00311017">
        <w:rPr>
          <w:rFonts w:cs="Arial"/>
          <w:szCs w:val="22"/>
        </w:rPr>
        <w:t>.</w:t>
      </w:r>
      <w:r w:rsidR="006376C8">
        <w:rPr>
          <w:rFonts w:cs="Arial"/>
          <w:szCs w:val="22"/>
        </w:rPr>
        <w:t xml:space="preserve"> </w:t>
      </w:r>
      <w:r w:rsidR="00311017">
        <w:rPr>
          <w:rFonts w:cs="Arial"/>
          <w:szCs w:val="22"/>
        </w:rPr>
        <w:t>For some standards</w:t>
      </w:r>
      <w:r w:rsidR="002D3ADB">
        <w:rPr>
          <w:rFonts w:cs="Arial"/>
          <w:szCs w:val="22"/>
        </w:rPr>
        <w:t xml:space="preserve"> </w:t>
      </w:r>
      <w:proofErr w:type="spellStart"/>
      <w:r w:rsidR="00D455BB">
        <w:rPr>
          <w:rFonts w:cs="Arial"/>
          <w:szCs w:val="22"/>
        </w:rPr>
        <w:t>eg</w:t>
      </w:r>
      <w:proofErr w:type="spellEnd"/>
      <w:r w:rsidR="00787A74">
        <w:rPr>
          <w:rFonts w:cs="Arial"/>
          <w:szCs w:val="22"/>
        </w:rPr>
        <w:t xml:space="preserve">, smoking cessation and advice given to </w:t>
      </w:r>
      <w:r w:rsidR="002D0608">
        <w:rPr>
          <w:rFonts w:cs="Arial"/>
          <w:szCs w:val="22"/>
        </w:rPr>
        <w:t>‘</w:t>
      </w:r>
      <w:r w:rsidR="00787A74">
        <w:rPr>
          <w:rFonts w:cs="Arial"/>
          <w:szCs w:val="22"/>
        </w:rPr>
        <w:t>family/</w:t>
      </w:r>
      <w:proofErr w:type="spellStart"/>
      <w:r w:rsidR="00787A74">
        <w:rPr>
          <w:rFonts w:cs="Arial"/>
          <w:szCs w:val="22"/>
        </w:rPr>
        <w:t>wh</w:t>
      </w:r>
      <w:r w:rsidR="00787A74" w:rsidRPr="00787A74">
        <w:rPr>
          <w:rFonts w:cs="Arial"/>
          <w:szCs w:val="22"/>
        </w:rPr>
        <w:t>ā</w:t>
      </w:r>
      <w:r w:rsidR="00114ED3">
        <w:rPr>
          <w:rFonts w:cs="Arial"/>
          <w:szCs w:val="22"/>
        </w:rPr>
        <w:t>nau</w:t>
      </w:r>
      <w:proofErr w:type="spellEnd"/>
      <w:r w:rsidR="002D0608">
        <w:rPr>
          <w:rFonts w:cs="Arial"/>
          <w:szCs w:val="22"/>
        </w:rPr>
        <w:t>’</w:t>
      </w:r>
      <w:r w:rsidR="00787A74">
        <w:rPr>
          <w:rFonts w:cs="Arial"/>
          <w:szCs w:val="22"/>
        </w:rPr>
        <w:t xml:space="preserve"> </w:t>
      </w:r>
      <w:r w:rsidR="007D3FC4">
        <w:rPr>
          <w:rFonts w:cs="Arial"/>
          <w:szCs w:val="22"/>
        </w:rPr>
        <w:t>where gathering achievement data is difficult</w:t>
      </w:r>
      <w:r w:rsidR="00114ED3">
        <w:rPr>
          <w:rFonts w:cs="Arial"/>
          <w:szCs w:val="22"/>
        </w:rPr>
        <w:t xml:space="preserve">, </w:t>
      </w:r>
      <w:r w:rsidR="00787A74">
        <w:rPr>
          <w:rFonts w:cs="Arial"/>
          <w:szCs w:val="22"/>
        </w:rPr>
        <w:t>the NLCWG has revised or removed such</w:t>
      </w:r>
      <w:r w:rsidR="00311017">
        <w:rPr>
          <w:rFonts w:cs="Arial"/>
          <w:szCs w:val="22"/>
        </w:rPr>
        <w:t xml:space="preserve"> standards</w:t>
      </w:r>
      <w:r w:rsidR="002D3ADB">
        <w:rPr>
          <w:rFonts w:cs="Arial"/>
          <w:szCs w:val="22"/>
        </w:rPr>
        <w:t xml:space="preserve">. </w:t>
      </w:r>
      <w:r w:rsidR="007D3FC4">
        <w:rPr>
          <w:rFonts w:cs="Arial"/>
          <w:szCs w:val="22"/>
          <w:shd w:val="clear" w:color="auto" w:fill="FFFFFF"/>
        </w:rPr>
        <w:t>The NLCWG</w:t>
      </w:r>
      <w:r w:rsidR="007D3FC4" w:rsidRPr="00AF13A0">
        <w:rPr>
          <w:rFonts w:cs="Arial"/>
          <w:szCs w:val="22"/>
          <w:shd w:val="clear" w:color="auto" w:fill="FFFFFF"/>
        </w:rPr>
        <w:t xml:space="preserve"> </w:t>
      </w:r>
      <w:r w:rsidR="00787A74" w:rsidRPr="00AF13A0">
        <w:rPr>
          <w:rFonts w:cs="Arial"/>
          <w:szCs w:val="22"/>
          <w:shd w:val="clear" w:color="auto" w:fill="FFFFFF"/>
        </w:rPr>
        <w:t xml:space="preserve">has </w:t>
      </w:r>
      <w:r w:rsidR="007D3FC4">
        <w:rPr>
          <w:rFonts w:cs="Arial"/>
          <w:szCs w:val="22"/>
          <w:shd w:val="clear" w:color="auto" w:fill="FFFFFF"/>
        </w:rPr>
        <w:t xml:space="preserve">also </w:t>
      </w:r>
      <w:r w:rsidR="007D24B9" w:rsidRPr="00AF13A0">
        <w:rPr>
          <w:rFonts w:cs="Arial"/>
          <w:szCs w:val="22"/>
          <w:shd w:val="clear" w:color="auto" w:fill="FFFFFF"/>
        </w:rPr>
        <w:t xml:space="preserve">revised </w:t>
      </w:r>
      <w:r w:rsidR="00787A74" w:rsidRPr="00AF13A0">
        <w:rPr>
          <w:rFonts w:cs="Arial"/>
          <w:szCs w:val="22"/>
          <w:shd w:val="clear" w:color="auto" w:fill="FFFFFF"/>
        </w:rPr>
        <w:t>the s</w:t>
      </w:r>
      <w:r w:rsidR="002D3ADB" w:rsidRPr="00AF13A0">
        <w:rPr>
          <w:rFonts w:cs="Arial"/>
          <w:szCs w:val="22"/>
          <w:shd w:val="clear" w:color="auto" w:fill="FFFFFF"/>
        </w:rPr>
        <w:t xml:space="preserve">tandards </w:t>
      </w:r>
      <w:r w:rsidR="00787A74" w:rsidRPr="00AF13A0">
        <w:rPr>
          <w:rFonts w:cs="Arial"/>
          <w:szCs w:val="22"/>
          <w:shd w:val="clear" w:color="auto" w:fill="FFFFFF"/>
        </w:rPr>
        <w:t xml:space="preserve">to more tightly set out </w:t>
      </w:r>
      <w:r w:rsidR="002D3ADB" w:rsidRPr="00120583">
        <w:rPr>
          <w:rFonts w:cs="Arial"/>
          <w:szCs w:val="22"/>
        </w:rPr>
        <w:t>definitions and</w:t>
      </w:r>
      <w:r w:rsidR="002D3ADB" w:rsidRPr="00120583">
        <w:rPr>
          <w:rFonts w:cs="Arial"/>
          <w:szCs w:val="22"/>
          <w:shd w:val="clear" w:color="auto" w:fill="FFFFFF"/>
        </w:rPr>
        <w:t xml:space="preserve"> monitoring criteria.</w:t>
      </w:r>
      <w:r w:rsidR="002D3ADB" w:rsidRPr="00120583">
        <w:rPr>
          <w:rFonts w:cs="Arial"/>
          <w:szCs w:val="22"/>
        </w:rPr>
        <w:t xml:space="preserve"> </w:t>
      </w:r>
      <w:r w:rsidR="00787A74" w:rsidRPr="00120583">
        <w:rPr>
          <w:rFonts w:cs="Arial"/>
          <w:szCs w:val="22"/>
        </w:rPr>
        <w:t>It is no longer possible to partially meet a s</w:t>
      </w:r>
      <w:r w:rsidR="002D3ADB" w:rsidRPr="00120583">
        <w:rPr>
          <w:rFonts w:cs="Arial"/>
          <w:szCs w:val="22"/>
        </w:rPr>
        <w:t>tandard</w:t>
      </w:r>
      <w:r w:rsidR="00787A74" w:rsidRPr="00120583">
        <w:rPr>
          <w:rFonts w:cs="Arial"/>
          <w:szCs w:val="22"/>
        </w:rPr>
        <w:t>;</w:t>
      </w:r>
      <w:r w:rsidR="002D3ADB" w:rsidRPr="00120583">
        <w:rPr>
          <w:rFonts w:cs="Arial"/>
          <w:szCs w:val="22"/>
        </w:rPr>
        <w:t xml:space="preserve"> they are now </w:t>
      </w:r>
      <w:r w:rsidR="00787A74" w:rsidRPr="00120583">
        <w:rPr>
          <w:rFonts w:cs="Arial"/>
          <w:szCs w:val="22"/>
        </w:rPr>
        <w:t xml:space="preserve">either </w:t>
      </w:r>
      <w:r w:rsidR="002D0608">
        <w:rPr>
          <w:rFonts w:cs="Arial"/>
          <w:szCs w:val="22"/>
        </w:rPr>
        <w:t>‘</w:t>
      </w:r>
      <w:r w:rsidR="002D3ADB" w:rsidRPr="00120583">
        <w:rPr>
          <w:rFonts w:cs="Arial"/>
          <w:szCs w:val="22"/>
        </w:rPr>
        <w:t>achieved</w:t>
      </w:r>
      <w:r w:rsidR="002D0608">
        <w:rPr>
          <w:rFonts w:cs="Arial"/>
          <w:szCs w:val="22"/>
        </w:rPr>
        <w:t>’</w:t>
      </w:r>
      <w:r w:rsidR="002D3ADB" w:rsidRPr="00120583">
        <w:rPr>
          <w:rFonts w:cs="Arial"/>
          <w:szCs w:val="22"/>
        </w:rPr>
        <w:t xml:space="preserve"> or </w:t>
      </w:r>
      <w:r w:rsidR="002D0608">
        <w:rPr>
          <w:rFonts w:cs="Arial"/>
          <w:szCs w:val="22"/>
        </w:rPr>
        <w:t>‘</w:t>
      </w:r>
      <w:r w:rsidR="00311017" w:rsidRPr="00120583">
        <w:rPr>
          <w:rFonts w:cs="Arial"/>
          <w:szCs w:val="22"/>
        </w:rPr>
        <w:t>not achieved</w:t>
      </w:r>
      <w:r w:rsidR="002D0608">
        <w:rPr>
          <w:rFonts w:cs="Arial"/>
          <w:szCs w:val="22"/>
        </w:rPr>
        <w:t>’</w:t>
      </w:r>
      <w:r w:rsidR="00787A74" w:rsidRPr="00120583">
        <w:rPr>
          <w:rFonts w:cs="Arial"/>
          <w:szCs w:val="22"/>
        </w:rPr>
        <w:t>,</w:t>
      </w:r>
      <w:r w:rsidRPr="00120583">
        <w:rPr>
          <w:rFonts w:cs="Arial"/>
          <w:szCs w:val="22"/>
        </w:rPr>
        <w:t xml:space="preserve"> to avoid confusion.</w:t>
      </w:r>
    </w:p>
    <w:p w:rsidR="00E64E91" w:rsidRDefault="002D3ADB" w:rsidP="00B23817">
      <w:pPr>
        <w:spacing w:after="120"/>
        <w:rPr>
          <w:rFonts w:cs="Arial"/>
          <w:szCs w:val="22"/>
        </w:rPr>
      </w:pPr>
      <w:r>
        <w:rPr>
          <w:rFonts w:cs="Arial"/>
          <w:szCs w:val="22"/>
        </w:rPr>
        <w:t xml:space="preserve">To keep the monitoring of standards </w:t>
      </w:r>
      <w:r w:rsidR="00B21D1F">
        <w:rPr>
          <w:rFonts w:cs="Arial"/>
          <w:szCs w:val="22"/>
        </w:rPr>
        <w:t>realistic</w:t>
      </w:r>
      <w:r>
        <w:rPr>
          <w:rFonts w:cs="Arial"/>
          <w:szCs w:val="22"/>
        </w:rPr>
        <w:t xml:space="preserve"> and recognising that some standards require audit of patient notes, </w:t>
      </w:r>
      <w:r w:rsidR="00787A74">
        <w:rPr>
          <w:rFonts w:cs="Arial"/>
          <w:szCs w:val="22"/>
        </w:rPr>
        <w:t xml:space="preserve">the NLCWG has </w:t>
      </w:r>
      <w:r>
        <w:rPr>
          <w:rFonts w:cs="Arial"/>
          <w:szCs w:val="22"/>
        </w:rPr>
        <w:t xml:space="preserve">kept </w:t>
      </w:r>
      <w:r w:rsidR="00787A74">
        <w:rPr>
          <w:rFonts w:cs="Arial"/>
          <w:szCs w:val="22"/>
        </w:rPr>
        <w:t xml:space="preserve">required </w:t>
      </w:r>
      <w:r w:rsidR="00311017">
        <w:rPr>
          <w:rFonts w:cs="Arial"/>
          <w:szCs w:val="22"/>
        </w:rPr>
        <w:t xml:space="preserve">random sample </w:t>
      </w:r>
      <w:r>
        <w:rPr>
          <w:rFonts w:cs="Arial"/>
          <w:szCs w:val="22"/>
        </w:rPr>
        <w:t xml:space="preserve">numbers low. </w:t>
      </w:r>
      <w:r w:rsidR="00787A74">
        <w:rPr>
          <w:rFonts w:cs="Arial"/>
          <w:szCs w:val="22"/>
        </w:rPr>
        <w:t xml:space="preserve">A </w:t>
      </w:r>
      <w:r w:rsidR="00F01348">
        <w:rPr>
          <w:rFonts w:cs="Arial"/>
          <w:szCs w:val="22"/>
        </w:rPr>
        <w:t>review</w:t>
      </w:r>
      <w:r>
        <w:rPr>
          <w:rFonts w:cs="Arial"/>
          <w:szCs w:val="22"/>
        </w:rPr>
        <w:t xml:space="preserve"> of </w:t>
      </w:r>
      <w:r w:rsidR="00787A74">
        <w:rPr>
          <w:rFonts w:cs="Arial"/>
          <w:szCs w:val="22"/>
        </w:rPr>
        <w:t xml:space="preserve">achievement against these </w:t>
      </w:r>
      <w:r>
        <w:rPr>
          <w:rFonts w:cs="Arial"/>
          <w:szCs w:val="22"/>
        </w:rPr>
        <w:t xml:space="preserve">standards </w:t>
      </w:r>
      <w:r w:rsidR="00787A74">
        <w:rPr>
          <w:rFonts w:cs="Arial"/>
          <w:szCs w:val="22"/>
        </w:rPr>
        <w:t xml:space="preserve">within a particular service </w:t>
      </w:r>
      <w:r>
        <w:rPr>
          <w:rFonts w:cs="Arial"/>
          <w:szCs w:val="22"/>
        </w:rPr>
        <w:t>is intended to give a snapshot of how that service is performing</w:t>
      </w:r>
      <w:r w:rsidR="00787A74">
        <w:rPr>
          <w:rFonts w:cs="Arial"/>
          <w:szCs w:val="22"/>
        </w:rPr>
        <w:t>,</w:t>
      </w:r>
      <w:r>
        <w:rPr>
          <w:rFonts w:cs="Arial"/>
          <w:szCs w:val="22"/>
        </w:rPr>
        <w:t xml:space="preserve"> and is not necessarily aimed at providing statistically significant samples </w:t>
      </w:r>
      <w:r w:rsidR="00787A74">
        <w:rPr>
          <w:rFonts w:cs="Arial"/>
          <w:szCs w:val="22"/>
        </w:rPr>
        <w:t xml:space="preserve">(which </w:t>
      </w:r>
      <w:r>
        <w:rPr>
          <w:rFonts w:cs="Arial"/>
          <w:szCs w:val="22"/>
        </w:rPr>
        <w:t>would require dedicated staff</w:t>
      </w:r>
      <w:r w:rsidR="00787A74">
        <w:rPr>
          <w:rFonts w:cs="Arial"/>
          <w:szCs w:val="22"/>
        </w:rPr>
        <w:t>)</w:t>
      </w:r>
      <w:r>
        <w:rPr>
          <w:rFonts w:cs="Arial"/>
          <w:szCs w:val="22"/>
        </w:rPr>
        <w:t>.</w:t>
      </w:r>
    </w:p>
    <w:p w:rsidR="00E64E91" w:rsidRDefault="00E64E91" w:rsidP="00B23817">
      <w:pPr>
        <w:spacing w:after="120"/>
        <w:rPr>
          <w:rFonts w:cs="Arial"/>
          <w:szCs w:val="22"/>
        </w:rPr>
      </w:pPr>
      <w:r>
        <w:rPr>
          <w:rFonts w:cs="Arial"/>
          <w:szCs w:val="22"/>
        </w:rPr>
        <w:t xml:space="preserve">The standards apply to any person or organisation that provides care and services to patients with lung cancer in New Zealand. </w:t>
      </w:r>
      <w:r w:rsidR="00787A74">
        <w:rPr>
          <w:rFonts w:cs="Arial"/>
          <w:szCs w:val="22"/>
        </w:rPr>
        <w:t>T</w:t>
      </w:r>
      <w:r>
        <w:rPr>
          <w:rFonts w:cs="Arial"/>
          <w:szCs w:val="22"/>
        </w:rPr>
        <w:t xml:space="preserve">he NLCWG </w:t>
      </w:r>
      <w:r w:rsidR="00787A74">
        <w:rPr>
          <w:rFonts w:cs="Arial"/>
          <w:szCs w:val="22"/>
        </w:rPr>
        <w:t xml:space="preserve">also intends </w:t>
      </w:r>
      <w:r>
        <w:rPr>
          <w:rFonts w:cs="Arial"/>
          <w:szCs w:val="22"/>
        </w:rPr>
        <w:t xml:space="preserve">that </w:t>
      </w:r>
      <w:r w:rsidR="00E8583D">
        <w:rPr>
          <w:rFonts w:cs="Arial"/>
          <w:szCs w:val="22"/>
        </w:rPr>
        <w:t xml:space="preserve">District Health Boards (DHBs) </w:t>
      </w:r>
      <w:r w:rsidR="00787A74">
        <w:rPr>
          <w:rFonts w:cs="Arial"/>
          <w:szCs w:val="22"/>
        </w:rPr>
        <w:t xml:space="preserve">will use them </w:t>
      </w:r>
      <w:r>
        <w:rPr>
          <w:rFonts w:cs="Arial"/>
          <w:szCs w:val="22"/>
        </w:rPr>
        <w:t>to develop key performance indicators that will be audited and used to drive improvements in services.</w:t>
      </w:r>
    </w:p>
    <w:p w:rsidR="002D0608" w:rsidRDefault="00E64E91" w:rsidP="00B23817">
      <w:pPr>
        <w:rPr>
          <w:rFonts w:cs="Arial"/>
          <w:szCs w:val="22"/>
        </w:rPr>
      </w:pPr>
      <w:r>
        <w:rPr>
          <w:rFonts w:cs="Arial"/>
          <w:szCs w:val="22"/>
        </w:rPr>
        <w:t xml:space="preserve">The NLCWG would like to emphasise the importance of </w:t>
      </w:r>
      <w:r w:rsidR="00787A74">
        <w:rPr>
          <w:rFonts w:cs="Arial"/>
          <w:szCs w:val="22"/>
        </w:rPr>
        <w:t xml:space="preserve">services providing </w:t>
      </w:r>
      <w:r>
        <w:rPr>
          <w:rFonts w:cs="Arial"/>
          <w:szCs w:val="22"/>
        </w:rPr>
        <w:t xml:space="preserve">patients </w:t>
      </w:r>
      <w:r w:rsidR="00787A74">
        <w:rPr>
          <w:rFonts w:cs="Arial"/>
          <w:szCs w:val="22"/>
        </w:rPr>
        <w:t xml:space="preserve">with </w:t>
      </w:r>
      <w:r>
        <w:rPr>
          <w:rFonts w:cs="Arial"/>
          <w:szCs w:val="22"/>
        </w:rPr>
        <w:t>the opportunity to participate in clinical trials</w:t>
      </w:r>
      <w:r w:rsidR="0016526B">
        <w:rPr>
          <w:rFonts w:cs="Arial"/>
          <w:szCs w:val="22"/>
        </w:rPr>
        <w:t xml:space="preserve"> </w:t>
      </w:r>
      <w:r w:rsidR="00787A74">
        <w:rPr>
          <w:rFonts w:cs="Arial"/>
          <w:szCs w:val="22"/>
        </w:rPr>
        <w:t xml:space="preserve">at </w:t>
      </w:r>
      <w:r w:rsidR="0016526B">
        <w:rPr>
          <w:rFonts w:cs="Arial"/>
          <w:szCs w:val="22"/>
        </w:rPr>
        <w:t>all stages of their journey</w:t>
      </w:r>
      <w:r>
        <w:rPr>
          <w:rFonts w:cs="Arial"/>
          <w:szCs w:val="22"/>
        </w:rPr>
        <w:t>.</w:t>
      </w:r>
    </w:p>
    <w:p w:rsidR="00E64E91" w:rsidRPr="00B20CD1" w:rsidRDefault="00E64E91" w:rsidP="001B55AB">
      <w:pPr>
        <w:pStyle w:val="Heading2"/>
      </w:pPr>
      <w:bookmarkStart w:id="5" w:name="_Toc290903011"/>
      <w:bookmarkStart w:id="6" w:name="_Toc399763950"/>
      <w:bookmarkStart w:id="7" w:name="_Toc448737394"/>
      <w:r w:rsidRPr="00BA2A54">
        <w:t xml:space="preserve">How the lung cancer service standards were </w:t>
      </w:r>
      <w:bookmarkEnd w:id="5"/>
      <w:bookmarkEnd w:id="6"/>
      <w:r w:rsidR="003770A4">
        <w:t>reviewed</w:t>
      </w:r>
      <w:bookmarkEnd w:id="7"/>
    </w:p>
    <w:p w:rsidR="00E64E91" w:rsidRDefault="004B4A8B" w:rsidP="001B55AB">
      <w:r>
        <w:t>In the original development of these standards, t</w:t>
      </w:r>
      <w:r w:rsidR="00E64E91">
        <w:t xml:space="preserve">he </w:t>
      </w:r>
      <w:r w:rsidR="00787A74">
        <w:t xml:space="preserve">NLCWG recognised the </w:t>
      </w:r>
      <w:r w:rsidR="00E64E91">
        <w:t>need for evidence-based practice</w:t>
      </w:r>
      <w:r w:rsidR="001736EC">
        <w:t xml:space="preserve">. </w:t>
      </w:r>
      <w:r w:rsidR="00E64E91">
        <w:t>Numerous evidence-based guidelines and standards already exist</w:t>
      </w:r>
      <w:r>
        <w:t>ed</w:t>
      </w:r>
      <w:r w:rsidR="00E64E91">
        <w:t xml:space="preserve">, so the </w:t>
      </w:r>
      <w:r>
        <w:t xml:space="preserve">group </w:t>
      </w:r>
      <w:r w:rsidR="00787A74">
        <w:t xml:space="preserve">largely </w:t>
      </w:r>
      <w:r>
        <w:t xml:space="preserve">formulated </w:t>
      </w:r>
      <w:r w:rsidR="00787A74">
        <w:t xml:space="preserve">the </w:t>
      </w:r>
      <w:r w:rsidR="00E64E91">
        <w:t>standards by referring to established internatio</w:t>
      </w:r>
      <w:r w:rsidR="00B20CD1">
        <w:t>nal guidelines. These include</w:t>
      </w:r>
      <w:r>
        <w:t>d</w:t>
      </w:r>
      <w:r w:rsidR="00B20CD1">
        <w:t>:</w:t>
      </w:r>
    </w:p>
    <w:p w:rsidR="00E64E91" w:rsidRDefault="00181215" w:rsidP="001B55AB">
      <w:pPr>
        <w:pStyle w:val="Bullet"/>
      </w:pPr>
      <w:r>
        <w:t>AGNH</w:t>
      </w:r>
      <w:r w:rsidR="00F9316E">
        <w:t>M</w:t>
      </w:r>
      <w:r>
        <w:t>RC</w:t>
      </w:r>
      <w:r w:rsidR="00E64E91">
        <w:t xml:space="preserve"> and </w:t>
      </w:r>
      <w:r w:rsidR="00F9316E">
        <w:t>ACN</w:t>
      </w:r>
      <w:r w:rsidR="00E64E91">
        <w:t xml:space="preserve">, </w:t>
      </w:r>
      <w:r w:rsidR="00E64E91" w:rsidRPr="001B55AB">
        <w:rPr>
          <w:i/>
        </w:rPr>
        <w:t>Clinical Practice Guidelines for the Prevention, Diagnosis and Management of Lung Cancer</w:t>
      </w:r>
      <w:r w:rsidR="00E64E91">
        <w:t xml:space="preserve"> (referred to as ACN 2004)</w:t>
      </w:r>
    </w:p>
    <w:p w:rsidR="00E64E91" w:rsidRDefault="00181215" w:rsidP="001B55AB">
      <w:pPr>
        <w:pStyle w:val="Bullet"/>
      </w:pPr>
      <w:r>
        <w:t>BTS</w:t>
      </w:r>
      <w:r w:rsidR="00F9316E">
        <w:t xml:space="preserve"> </w:t>
      </w:r>
      <w:r w:rsidR="00F9316E" w:rsidRPr="00AE7D71">
        <w:t>and the Society for Cardiothoracic Surgery in Great Britain and Ireland</w:t>
      </w:r>
      <w:r w:rsidR="00E64E91">
        <w:t xml:space="preserve">, </w:t>
      </w:r>
      <w:r w:rsidR="00E64E91" w:rsidRPr="001B55AB">
        <w:rPr>
          <w:i/>
        </w:rPr>
        <w:t>Guidelines on the Radical Management of Patients with Lung Cancer</w:t>
      </w:r>
      <w:r w:rsidR="00E64E91">
        <w:t xml:space="preserve"> (</w:t>
      </w:r>
      <w:r w:rsidR="00F9316E">
        <w:t xml:space="preserve">referred to as </w:t>
      </w:r>
      <w:r w:rsidR="00E64E91">
        <w:t>BTS 2010)</w:t>
      </w:r>
    </w:p>
    <w:p w:rsidR="00E64E91" w:rsidRDefault="00181215" w:rsidP="001B55AB">
      <w:pPr>
        <w:pStyle w:val="Bullet"/>
      </w:pPr>
      <w:r>
        <w:t>NICE</w:t>
      </w:r>
      <w:r w:rsidR="00E64E91">
        <w:t xml:space="preserve">, </w:t>
      </w:r>
      <w:r w:rsidR="00E64E91" w:rsidRPr="001B55AB">
        <w:rPr>
          <w:i/>
        </w:rPr>
        <w:t>Clinical Guideline: The diagnosis and treatment of lung cancer (update)</w:t>
      </w:r>
      <w:r w:rsidR="00E64E91" w:rsidRPr="00641A5E">
        <w:t xml:space="preserve"> </w:t>
      </w:r>
      <w:r w:rsidR="00E64E91">
        <w:t>(NICE 2011)</w:t>
      </w:r>
    </w:p>
    <w:p w:rsidR="002D0608" w:rsidRDefault="00181215" w:rsidP="001B55AB">
      <w:pPr>
        <w:pStyle w:val="Bullet"/>
      </w:pPr>
      <w:r>
        <w:lastRenderedPageBreak/>
        <w:t>NHS</w:t>
      </w:r>
      <w:r w:rsidR="00E64E91">
        <w:t xml:space="preserve"> Wales,</w:t>
      </w:r>
      <w:r w:rsidR="00E64E91" w:rsidRPr="00AA7D6E">
        <w:t xml:space="preserve"> </w:t>
      </w:r>
      <w:r w:rsidR="00E64E91" w:rsidRPr="001B55AB">
        <w:rPr>
          <w:i/>
        </w:rPr>
        <w:t>National Standards for Lung Cancer Services 2005</w:t>
      </w:r>
      <w:r w:rsidR="00E64E91" w:rsidRPr="00AA7D6E">
        <w:t xml:space="preserve"> </w:t>
      </w:r>
      <w:r w:rsidR="00E64E91">
        <w:t>(NHS Wales 2005)</w:t>
      </w:r>
    </w:p>
    <w:p w:rsidR="002D0608" w:rsidRDefault="00181215" w:rsidP="001B55AB">
      <w:pPr>
        <w:pStyle w:val="Bullet"/>
      </w:pPr>
      <w:r>
        <w:t xml:space="preserve">NHS </w:t>
      </w:r>
      <w:r w:rsidR="00E64E91">
        <w:t xml:space="preserve">Scotland, </w:t>
      </w:r>
      <w:r w:rsidR="00E64E91" w:rsidRPr="00AF239A">
        <w:rPr>
          <w:i/>
        </w:rPr>
        <w:t>Clinical Standards – July 2008 [new edition]: Management of lung cancer services</w:t>
      </w:r>
      <w:r w:rsidR="00E64E91">
        <w:t xml:space="preserve"> (NHS Scotland 2008)</w:t>
      </w:r>
    </w:p>
    <w:p w:rsidR="002D0608" w:rsidRDefault="00181215" w:rsidP="001B55AB">
      <w:pPr>
        <w:pStyle w:val="Bullet"/>
      </w:pPr>
      <w:r>
        <w:t>NCCN</w:t>
      </w:r>
      <w:r w:rsidR="00E64E91" w:rsidRPr="000C1228">
        <w:t xml:space="preserve">, </w:t>
      </w:r>
      <w:r w:rsidR="00E64E91" w:rsidRPr="00AF239A">
        <w:rPr>
          <w:i/>
        </w:rPr>
        <w:t>Guidelines for Non-Small Cell Lung Cancer</w:t>
      </w:r>
      <w:r w:rsidR="00E64E91" w:rsidRPr="000C1228">
        <w:t xml:space="preserve"> (NCCN</w:t>
      </w:r>
      <w:r w:rsidR="000C1228" w:rsidRPr="000C1228">
        <w:t xml:space="preserve"> 2011</w:t>
      </w:r>
      <w:r w:rsidR="00E64E91" w:rsidRPr="000C1228">
        <w:t>).</w:t>
      </w:r>
    </w:p>
    <w:p w:rsidR="006E44FA" w:rsidRPr="000C1228" w:rsidRDefault="00E64E91" w:rsidP="004E699A">
      <w:pPr>
        <w:spacing w:after="120"/>
      </w:pPr>
      <w:r w:rsidRPr="000C1228">
        <w:rPr>
          <w:rFonts w:cs="Arial"/>
          <w:szCs w:val="22"/>
        </w:rPr>
        <w:t xml:space="preserve">Where no clear evidence </w:t>
      </w:r>
      <w:r w:rsidR="00787A74">
        <w:rPr>
          <w:rFonts w:cs="Arial"/>
          <w:szCs w:val="22"/>
        </w:rPr>
        <w:t>was</w:t>
      </w:r>
      <w:r w:rsidR="00787A74" w:rsidRPr="000C1228">
        <w:rPr>
          <w:rFonts w:cs="Arial"/>
          <w:szCs w:val="22"/>
        </w:rPr>
        <w:t xml:space="preserve"> </w:t>
      </w:r>
      <w:r w:rsidRPr="000C1228">
        <w:rPr>
          <w:rFonts w:cs="Arial"/>
          <w:szCs w:val="22"/>
        </w:rPr>
        <w:t xml:space="preserve">available, </w:t>
      </w:r>
      <w:r w:rsidR="00787A74">
        <w:rPr>
          <w:rFonts w:cs="Arial"/>
          <w:szCs w:val="22"/>
        </w:rPr>
        <w:t xml:space="preserve">the NLCWG sought </w:t>
      </w:r>
      <w:r w:rsidRPr="000C1228">
        <w:rPr>
          <w:rFonts w:cs="Arial"/>
          <w:szCs w:val="22"/>
        </w:rPr>
        <w:t xml:space="preserve">expert opinion. </w:t>
      </w:r>
      <w:r w:rsidR="00787A74">
        <w:rPr>
          <w:rFonts w:cs="Arial"/>
          <w:szCs w:val="22"/>
        </w:rPr>
        <w:t>It undertook w</w:t>
      </w:r>
      <w:r w:rsidRPr="000C1228">
        <w:t xml:space="preserve">ider consultation with key lung cancer sector stakeholders and relevant professional organisations (including </w:t>
      </w:r>
      <w:r w:rsidR="00787A74">
        <w:t xml:space="preserve">the </w:t>
      </w:r>
      <w:r w:rsidRPr="000C1228">
        <w:t>N</w:t>
      </w:r>
      <w:r w:rsidR="00557202" w:rsidRPr="000C1228">
        <w:t xml:space="preserve">ew </w:t>
      </w:r>
      <w:r w:rsidRPr="000C1228">
        <w:t>Z</w:t>
      </w:r>
      <w:r w:rsidR="00557202" w:rsidRPr="000C1228">
        <w:t>ealand</w:t>
      </w:r>
      <w:r w:rsidRPr="000C1228">
        <w:t xml:space="preserve"> branch of the Thoracic Society of Australia and New Zealand and the Royal New Zealand College of General Practitioners).</w:t>
      </w:r>
    </w:p>
    <w:p w:rsidR="00FE52FD" w:rsidRDefault="009B0756" w:rsidP="00B23817">
      <w:pPr>
        <w:spacing w:after="120"/>
      </w:pPr>
      <w:r>
        <w:t>For its</w:t>
      </w:r>
      <w:r w:rsidR="006E44FA">
        <w:t xml:space="preserve"> r</w:t>
      </w:r>
      <w:r w:rsidR="00557202">
        <w:t xml:space="preserve">evision of the </w:t>
      </w:r>
      <w:r w:rsidR="00557202" w:rsidRPr="00557202">
        <w:rPr>
          <w:i/>
        </w:rPr>
        <w:t>S</w:t>
      </w:r>
      <w:r w:rsidR="001525F1" w:rsidRPr="00557202">
        <w:rPr>
          <w:i/>
        </w:rPr>
        <w:t xml:space="preserve">tandards </w:t>
      </w:r>
      <w:r w:rsidR="00557202" w:rsidRPr="00557202">
        <w:rPr>
          <w:i/>
        </w:rPr>
        <w:t>of Service Provision for Lung Cancer Patients in New Zealand</w:t>
      </w:r>
      <w:r w:rsidR="00557202">
        <w:t xml:space="preserve"> </w:t>
      </w:r>
      <w:r>
        <w:t xml:space="preserve">the NLCWG </w:t>
      </w:r>
      <w:r w:rsidR="001525F1">
        <w:t>has</w:t>
      </w:r>
      <w:r w:rsidR="006E44FA">
        <w:t xml:space="preserve"> taken a different approach. </w:t>
      </w:r>
      <w:r w:rsidR="004B4A8B">
        <w:t>For the process of revision of the standards, the NLCWG drafted some c</w:t>
      </w:r>
      <w:r w:rsidR="00FE52FD">
        <w:t>hanges</w:t>
      </w:r>
      <w:r w:rsidR="00557202">
        <w:t>,</w:t>
      </w:r>
      <w:r w:rsidR="00FE52FD">
        <w:t xml:space="preserve"> as described in the </w:t>
      </w:r>
      <w:r w:rsidR="004B4A8B">
        <w:t>Background</w:t>
      </w:r>
      <w:r w:rsidR="00557202">
        <w:t>,</w:t>
      </w:r>
      <w:r w:rsidR="00FE52FD">
        <w:t xml:space="preserve"> and distributed </w:t>
      </w:r>
      <w:r w:rsidR="004B4A8B">
        <w:t xml:space="preserve">them </w:t>
      </w:r>
      <w:r w:rsidR="00FE52FD">
        <w:t xml:space="preserve">for consultation. </w:t>
      </w:r>
      <w:r w:rsidR="004B4A8B">
        <w:t>It then collated f</w:t>
      </w:r>
      <w:r w:rsidR="00FE52FD">
        <w:t xml:space="preserve">eedback from the consultation process and considered </w:t>
      </w:r>
      <w:r w:rsidR="004B4A8B">
        <w:t>it;</w:t>
      </w:r>
      <w:r w:rsidR="00FE52FD">
        <w:t xml:space="preserve"> where appropriate, </w:t>
      </w:r>
      <w:r w:rsidR="004B4A8B">
        <w:t>it accommodated this feedback in the draft document</w:t>
      </w:r>
      <w:r w:rsidR="00FE52FD">
        <w:t>. The consultation process included questions about content</w:t>
      </w:r>
      <w:r w:rsidR="004B4A8B">
        <w:t>,</w:t>
      </w:r>
      <w:r w:rsidR="00FE52FD">
        <w:t xml:space="preserve"> as well as format changes. The </w:t>
      </w:r>
      <w:r w:rsidR="004B4A8B">
        <w:t xml:space="preserve">NLCWG also reviewed </w:t>
      </w:r>
      <w:r w:rsidR="00FE52FD">
        <w:t>draft standards for the other New Zealand tumour streams</w:t>
      </w:r>
      <w:r w:rsidR="004B4A8B">
        <w:t>,</w:t>
      </w:r>
      <w:r w:rsidR="00FE52FD">
        <w:t xml:space="preserve"> in an attempt to improve consistency</w:t>
      </w:r>
      <w:r w:rsidR="004B4A8B">
        <w:t xml:space="preserve"> across the standards documents</w:t>
      </w:r>
      <w:r w:rsidR="00FE52FD">
        <w:t>.</w:t>
      </w:r>
    </w:p>
    <w:p w:rsidR="00B3057B" w:rsidRPr="00B20CD1" w:rsidRDefault="004B4A8B" w:rsidP="00B23817">
      <w:pPr>
        <w:spacing w:after="120"/>
      </w:pPr>
      <w:r>
        <w:t>In undertaking the review, t</w:t>
      </w:r>
      <w:r w:rsidR="00FE52FD">
        <w:t>he NLCWG remained of the opinion that the overall number of standards should remain low</w:t>
      </w:r>
      <w:r>
        <w:t>,</w:t>
      </w:r>
      <w:r w:rsidR="00FE52FD">
        <w:t xml:space="preserve"> a</w:t>
      </w:r>
      <w:r w:rsidR="008A66DC">
        <w:t>nd be directed at a high level.</w:t>
      </w:r>
    </w:p>
    <w:p w:rsidR="00A04D3D" w:rsidRDefault="004B4A8B" w:rsidP="00AF239A">
      <w:r>
        <w:t>The NLCWG will review t</w:t>
      </w:r>
      <w:r w:rsidR="00E64E91">
        <w:t xml:space="preserve">hese standards </w:t>
      </w:r>
      <w:r w:rsidR="00D4245D">
        <w:t>three yearly</w:t>
      </w:r>
      <w:r w:rsidR="00E64E91">
        <w:t xml:space="preserve">. Researchers and other stakeholders should advise the chair of the NLCWG if </w:t>
      </w:r>
      <w:r>
        <w:t xml:space="preserve">they discover </w:t>
      </w:r>
      <w:r w:rsidR="00E64E91">
        <w:t xml:space="preserve">important new information that might </w:t>
      </w:r>
      <w:r>
        <w:t xml:space="preserve">render an </w:t>
      </w:r>
      <w:r w:rsidR="00E64E91">
        <w:t xml:space="preserve">aspect of good practice </w:t>
      </w:r>
      <w:r>
        <w:t xml:space="preserve">– and therefore these standards – </w:t>
      </w:r>
      <w:r w:rsidR="00E64E91">
        <w:t xml:space="preserve">out of date. The NLCWG will review the information and decide if </w:t>
      </w:r>
      <w:r>
        <w:t xml:space="preserve">it </w:t>
      </w:r>
      <w:r w:rsidR="00E64E91">
        <w:t>is important.</w:t>
      </w:r>
    </w:p>
    <w:p w:rsidR="00A04D3D" w:rsidRDefault="00A04D3D" w:rsidP="00AF239A">
      <w:pPr>
        <w:pStyle w:val="Heading2"/>
      </w:pPr>
      <w:bookmarkStart w:id="8" w:name="_Toc448737395"/>
      <w:r>
        <w:t xml:space="preserve">Summary </w:t>
      </w:r>
      <w:r w:rsidRPr="00B60BF7">
        <w:t>of changes to 2011 Service Standards</w:t>
      </w:r>
      <w:bookmarkEnd w:id="8"/>
    </w:p>
    <w:p w:rsidR="00A04D3D" w:rsidRDefault="00A04D3D" w:rsidP="00AF239A">
      <w:pPr>
        <w:pStyle w:val="Bullet"/>
      </w:pPr>
      <w:r>
        <w:t>Total of 20 standards compared to 13 in the 2011 standards.</w:t>
      </w:r>
    </w:p>
    <w:p w:rsidR="00A04D3D" w:rsidRPr="00EB79FC" w:rsidRDefault="00A04D3D" w:rsidP="00AF239A">
      <w:pPr>
        <w:pStyle w:val="Bullet"/>
      </w:pPr>
      <w:r>
        <w:t xml:space="preserve">Three new </w:t>
      </w:r>
      <w:r w:rsidRPr="00EB79FC">
        <w:t>standard clusters are:</w:t>
      </w:r>
    </w:p>
    <w:p w:rsidR="00A04D3D" w:rsidRDefault="00A04D3D" w:rsidP="00AF239A">
      <w:pPr>
        <w:pStyle w:val="Dash"/>
      </w:pPr>
      <w:bookmarkStart w:id="9" w:name="_Toc404947678"/>
      <w:bookmarkEnd w:id="9"/>
      <w:r>
        <w:t>prevention and early detection</w:t>
      </w:r>
    </w:p>
    <w:p w:rsidR="00A04D3D" w:rsidRDefault="00A04D3D" w:rsidP="00AF239A">
      <w:pPr>
        <w:pStyle w:val="Dash"/>
      </w:pPr>
      <w:r>
        <w:t>supportive care</w:t>
      </w:r>
    </w:p>
    <w:p w:rsidR="00A04D3D" w:rsidRPr="002E6027" w:rsidRDefault="00A04D3D" w:rsidP="00AF239A">
      <w:pPr>
        <w:pStyle w:val="Dash"/>
      </w:pPr>
      <w:r>
        <w:t>c</w:t>
      </w:r>
      <w:r w:rsidRPr="002E6027">
        <w:t>linical perf</w:t>
      </w:r>
      <w:r>
        <w:t>ormance monitoring and research</w:t>
      </w:r>
    </w:p>
    <w:p w:rsidR="002D0608" w:rsidRDefault="00A04D3D" w:rsidP="00AF239A">
      <w:pPr>
        <w:pStyle w:val="Bullet"/>
      </w:pPr>
      <w:r>
        <w:t>Prevention and early d</w:t>
      </w:r>
      <w:r w:rsidRPr="002E6027">
        <w:t>etection</w:t>
      </w:r>
      <w:r>
        <w:t xml:space="preserve"> cluster has three standards related to referrals for chest X-ray, managing abnormal imaging results and the quit smoking health target.</w:t>
      </w:r>
    </w:p>
    <w:p w:rsidR="00A04D3D" w:rsidRDefault="00A04D3D" w:rsidP="00AF239A">
      <w:pPr>
        <w:pStyle w:val="Bullet"/>
      </w:pPr>
      <w:r>
        <w:t>Referral and communication standard reworded.</w:t>
      </w:r>
    </w:p>
    <w:p w:rsidR="00A04D3D" w:rsidRDefault="00A04D3D" w:rsidP="00AF239A">
      <w:pPr>
        <w:pStyle w:val="Bullet"/>
      </w:pPr>
      <w:r>
        <w:t>Investigations cluster is revised to: Investigation, diagnosis and staging.</w:t>
      </w:r>
    </w:p>
    <w:p w:rsidR="00A04D3D" w:rsidRDefault="00A04D3D" w:rsidP="00AF239A">
      <w:pPr>
        <w:pStyle w:val="Bullet"/>
      </w:pPr>
      <w:r>
        <w:lastRenderedPageBreak/>
        <w:t>Three additional standards are added to the investigations, diagnosis and staging cluster related to access to CT guided biopsy, molecular testing and reporting of tests.</w:t>
      </w:r>
    </w:p>
    <w:p w:rsidR="00A04D3D" w:rsidRPr="002E6027" w:rsidRDefault="00A04D3D" w:rsidP="00AF239A">
      <w:pPr>
        <w:pStyle w:val="Bullet"/>
      </w:pPr>
      <w:r>
        <w:t>Follow-</w:t>
      </w:r>
      <w:r w:rsidRPr="002E6027">
        <w:t>up cluster</w:t>
      </w:r>
      <w:r>
        <w:t xml:space="preserve"> of standards is revised to: Follow-up and surveillance</w:t>
      </w:r>
      <w:r w:rsidR="00AF239A">
        <w:t>.</w:t>
      </w:r>
    </w:p>
    <w:p w:rsidR="00A04D3D" w:rsidRPr="00BA7D44" w:rsidRDefault="00A04D3D" w:rsidP="00AF239A">
      <w:pPr>
        <w:pStyle w:val="Bullet"/>
      </w:pPr>
      <w:r>
        <w:t>Data collection standard is added to the c</w:t>
      </w:r>
      <w:r w:rsidRPr="002E6027">
        <w:t>linical performance</w:t>
      </w:r>
      <w:r>
        <w:t>,</w:t>
      </w:r>
      <w:r w:rsidRPr="002E6027">
        <w:t xml:space="preserve"> monitoring and research</w:t>
      </w:r>
      <w:r>
        <w:t xml:space="preserve"> cluster.</w:t>
      </w:r>
    </w:p>
    <w:p w:rsidR="00A04D3D" w:rsidRDefault="00A04D3D" w:rsidP="00AF239A">
      <w:pPr>
        <w:pStyle w:val="Bullet"/>
      </w:pPr>
      <w:r w:rsidRPr="002E6027">
        <w:t xml:space="preserve">Equity and </w:t>
      </w:r>
      <w:r w:rsidRPr="001E0636">
        <w:rPr>
          <w:lang w:val="mi-NZ"/>
        </w:rPr>
        <w:t>Whānau</w:t>
      </w:r>
      <w:r w:rsidRPr="002E6027">
        <w:t xml:space="preserve"> </w:t>
      </w:r>
      <w:proofErr w:type="spellStart"/>
      <w:r w:rsidRPr="002E6027">
        <w:t>ora</w:t>
      </w:r>
      <w:proofErr w:type="spellEnd"/>
      <w:r w:rsidRPr="002E6027">
        <w:t xml:space="preserve"> </w:t>
      </w:r>
      <w:r>
        <w:t>statements are added to the introduction.</w:t>
      </w:r>
    </w:p>
    <w:p w:rsidR="00A04D3D" w:rsidRDefault="00A04D3D" w:rsidP="00AF239A">
      <w:pPr>
        <w:pStyle w:val="Bullet"/>
      </w:pPr>
      <w:r>
        <w:t>A</w:t>
      </w:r>
      <w:r w:rsidRPr="002E6027">
        <w:t xml:space="preserve"> </w:t>
      </w:r>
      <w:r>
        <w:t xml:space="preserve">lung cancer standards </w:t>
      </w:r>
      <w:r w:rsidRPr="002E6027">
        <w:t>pathway chart</w:t>
      </w:r>
      <w:r>
        <w:t xml:space="preserve"> is added to the introduction.</w:t>
      </w:r>
    </w:p>
    <w:p w:rsidR="002D0608" w:rsidRDefault="00A04D3D" w:rsidP="00AF239A">
      <w:pPr>
        <w:pStyle w:val="Bullet"/>
      </w:pPr>
      <w:r w:rsidRPr="00AB68E1">
        <w:t xml:space="preserve">New format for each standard </w:t>
      </w:r>
      <w:proofErr w:type="spellStart"/>
      <w:r w:rsidRPr="00AB68E1">
        <w:t>ie</w:t>
      </w:r>
      <w:proofErr w:type="spellEnd"/>
      <w:r w:rsidR="00AF239A">
        <w:t>,</w:t>
      </w:r>
      <w:r w:rsidRPr="00AB68E1">
        <w:t xml:space="preserve"> standard statement is followed by rationale, how we measure the standard, target, and monitoring requirement.</w:t>
      </w:r>
    </w:p>
    <w:p w:rsidR="00A04D3D" w:rsidRPr="002E6027" w:rsidRDefault="00A04D3D" w:rsidP="00AF239A">
      <w:pPr>
        <w:pStyle w:val="Bullet"/>
      </w:pPr>
      <w:r>
        <w:t>W</w:t>
      </w:r>
      <w:r w:rsidRPr="002E6027">
        <w:t>ording in some standards</w:t>
      </w:r>
      <w:r>
        <w:t xml:space="preserve"> is changed.</w:t>
      </w:r>
    </w:p>
    <w:p w:rsidR="002D0608" w:rsidRDefault="00A04D3D" w:rsidP="00AF239A">
      <w:pPr>
        <w:pStyle w:val="Bullet"/>
      </w:pPr>
      <w:r>
        <w:t>G</w:t>
      </w:r>
      <w:r w:rsidRPr="002E6027">
        <w:t>ood practice points</w:t>
      </w:r>
      <w:r>
        <w:t xml:space="preserve"> have been updated or removed.</w:t>
      </w:r>
    </w:p>
    <w:p w:rsidR="00A04D3D" w:rsidRDefault="00A04D3D" w:rsidP="00AF239A">
      <w:pPr>
        <w:pStyle w:val="Bullet"/>
      </w:pPr>
      <w:r>
        <w:t>High suspicion of cancer (</w:t>
      </w:r>
      <w:proofErr w:type="spellStart"/>
      <w:r>
        <w:t>HScan</w:t>
      </w:r>
      <w:proofErr w:type="spellEnd"/>
      <w:r>
        <w:t>) definition developed in 2016 is referenced</w:t>
      </w:r>
      <w:r w:rsidR="00AF239A">
        <w:t>.</w:t>
      </w:r>
    </w:p>
    <w:p w:rsidR="00A04D3D" w:rsidRPr="00A04D3D" w:rsidRDefault="00A04D3D" w:rsidP="00AF239A">
      <w:pPr>
        <w:pStyle w:val="Bullet"/>
      </w:pPr>
      <w:r>
        <w:t>Faster Cancer Treatment health target acknowledged in standards.</w:t>
      </w:r>
    </w:p>
    <w:p w:rsidR="00536BD1" w:rsidRPr="00BA2A54" w:rsidRDefault="00536BD1" w:rsidP="00AF239A">
      <w:pPr>
        <w:pStyle w:val="Heading2"/>
      </w:pPr>
      <w:bookmarkStart w:id="10" w:name="_Toc399763951"/>
      <w:bookmarkStart w:id="11" w:name="_Toc448737396"/>
      <w:bookmarkStart w:id="12" w:name="_Toc290903012"/>
      <w:r w:rsidRPr="00BA2A54">
        <w:t xml:space="preserve">Equity and </w:t>
      </w:r>
      <w:r w:rsidR="00557202">
        <w:rPr>
          <w:lang w:val="mi-NZ"/>
        </w:rPr>
        <w:t>W</w:t>
      </w:r>
      <w:r w:rsidRPr="004812C2">
        <w:rPr>
          <w:lang w:val="mi-NZ"/>
        </w:rPr>
        <w:t>hānau</w:t>
      </w:r>
      <w:r w:rsidR="00557202">
        <w:t xml:space="preserve"> </w:t>
      </w:r>
      <w:proofErr w:type="spellStart"/>
      <w:r w:rsidR="00557202">
        <w:t>O</w:t>
      </w:r>
      <w:r w:rsidRPr="00BA2A54">
        <w:t>ra</w:t>
      </w:r>
      <w:bookmarkEnd w:id="10"/>
      <w:bookmarkEnd w:id="11"/>
      <w:proofErr w:type="spellEnd"/>
    </w:p>
    <w:p w:rsidR="00536BD1" w:rsidRPr="00536BD1" w:rsidRDefault="00536BD1" w:rsidP="00AF239A">
      <w:r w:rsidRPr="00536BD1">
        <w:t>Health inequities or health disparities are avoidable, unnecessary and unjust differences in the health of groups of people. In New Zealand, ethnic identity is an important dimension of health disparities. Cancer is a significant health concern for Māori, and has a major and disproportionate impact on Māori communi</w:t>
      </w:r>
      <w:r w:rsidR="00B20CD1">
        <w:t>ties (Ministry of Health 2008).</w:t>
      </w:r>
    </w:p>
    <w:p w:rsidR="00536BD1" w:rsidRPr="00536BD1" w:rsidRDefault="00536BD1" w:rsidP="00B23817">
      <w:pPr>
        <w:spacing w:after="120"/>
        <w:rPr>
          <w:rFonts w:cs="Arial"/>
          <w:szCs w:val="22"/>
        </w:rPr>
      </w:pPr>
      <w:r w:rsidRPr="00536BD1">
        <w:rPr>
          <w:rFonts w:cs="Arial"/>
          <w:szCs w:val="22"/>
        </w:rPr>
        <w:t xml:space="preserve">Inequities exist between Māori and non-Māori in </w:t>
      </w:r>
      <w:r w:rsidR="00D455BB">
        <w:rPr>
          <w:rFonts w:cs="Arial"/>
          <w:szCs w:val="22"/>
        </w:rPr>
        <w:t xml:space="preserve">terms of </w:t>
      </w:r>
      <w:r w:rsidRPr="00536BD1">
        <w:rPr>
          <w:rFonts w:cs="Arial"/>
          <w:szCs w:val="22"/>
        </w:rPr>
        <w:t xml:space="preserve">exposure to risk and protective factors for cancer, incidence and outcomes, and access </w:t>
      </w:r>
      <w:r w:rsidR="00B20CD1">
        <w:rPr>
          <w:rFonts w:cs="Arial"/>
          <w:szCs w:val="22"/>
        </w:rPr>
        <w:t>to cancer services.</w:t>
      </w:r>
    </w:p>
    <w:p w:rsidR="00536BD1" w:rsidRPr="00536BD1" w:rsidRDefault="00536BD1" w:rsidP="00B23817">
      <w:pPr>
        <w:spacing w:after="120"/>
        <w:rPr>
          <w:rFonts w:cs="Arial"/>
          <w:szCs w:val="22"/>
        </w:rPr>
      </w:pPr>
      <w:r w:rsidRPr="00536BD1">
        <w:rPr>
          <w:rFonts w:cs="Arial"/>
          <w:szCs w:val="22"/>
        </w:rPr>
        <w:t>Barriers to health care are recognised as multidimensional, and include health sys</w:t>
      </w:r>
      <w:r w:rsidR="007D5E7B">
        <w:rPr>
          <w:rFonts w:cs="Arial"/>
          <w:szCs w:val="22"/>
        </w:rPr>
        <w:t>tem and health care factors (</w:t>
      </w:r>
      <w:proofErr w:type="spellStart"/>
      <w:r w:rsidR="007C7A11">
        <w:rPr>
          <w:rFonts w:cs="Arial"/>
          <w:szCs w:val="22"/>
        </w:rPr>
        <w:t>eg</w:t>
      </w:r>
      <w:proofErr w:type="spellEnd"/>
      <w:r w:rsidR="00D455BB">
        <w:rPr>
          <w:rFonts w:cs="Arial"/>
          <w:szCs w:val="22"/>
        </w:rPr>
        <w:t>,</w:t>
      </w:r>
      <w:r w:rsidRPr="00536BD1">
        <w:rPr>
          <w:rFonts w:cs="Arial"/>
          <w:szCs w:val="22"/>
        </w:rPr>
        <w:t xml:space="preserve"> institutional values, workforce composition, service configuration and location),</w:t>
      </w:r>
      <w:r w:rsidR="007D5E7B">
        <w:rPr>
          <w:rFonts w:cs="Arial"/>
          <w:szCs w:val="22"/>
        </w:rPr>
        <w:t xml:space="preserve"> as well as patient factors (</w:t>
      </w:r>
      <w:proofErr w:type="spellStart"/>
      <w:r w:rsidR="007C7A11">
        <w:rPr>
          <w:rFonts w:cs="Arial"/>
          <w:szCs w:val="22"/>
        </w:rPr>
        <w:t>eg</w:t>
      </w:r>
      <w:proofErr w:type="spellEnd"/>
      <w:r w:rsidR="00D455BB">
        <w:rPr>
          <w:rFonts w:cs="Arial"/>
          <w:szCs w:val="22"/>
        </w:rPr>
        <w:t>,</w:t>
      </w:r>
      <w:r w:rsidRPr="00536BD1">
        <w:rPr>
          <w:rFonts w:cs="Arial"/>
          <w:szCs w:val="22"/>
        </w:rPr>
        <w:t xml:space="preserve"> socioeconomic position, </w:t>
      </w:r>
      <w:r w:rsidR="00D455BB">
        <w:rPr>
          <w:rFonts w:cs="Arial"/>
          <w:szCs w:val="22"/>
        </w:rPr>
        <w:t xml:space="preserve">access to </w:t>
      </w:r>
      <w:r w:rsidRPr="00536BD1">
        <w:rPr>
          <w:rFonts w:cs="Arial"/>
          <w:szCs w:val="22"/>
        </w:rPr>
        <w:t xml:space="preserve">transportation and </w:t>
      </w:r>
      <w:r w:rsidR="00D455BB">
        <w:rPr>
          <w:rFonts w:cs="Arial"/>
          <w:szCs w:val="22"/>
        </w:rPr>
        <w:t xml:space="preserve">personal </w:t>
      </w:r>
      <w:r w:rsidRPr="00536BD1">
        <w:rPr>
          <w:rFonts w:cs="Arial"/>
          <w:szCs w:val="22"/>
        </w:rPr>
        <w:t>values). Addressing these factors requires a population health approach</w:t>
      </w:r>
      <w:r w:rsidR="00B20CD1">
        <w:rPr>
          <w:rFonts w:cs="Arial"/>
          <w:szCs w:val="22"/>
        </w:rPr>
        <w:t>.</w:t>
      </w:r>
    </w:p>
    <w:p w:rsidR="00536BD1" w:rsidRPr="00536BD1" w:rsidRDefault="00536BD1" w:rsidP="00B23817">
      <w:pPr>
        <w:spacing w:after="120"/>
        <w:rPr>
          <w:rFonts w:cs="Arial"/>
          <w:szCs w:val="22"/>
        </w:rPr>
      </w:pPr>
      <w:r w:rsidRPr="00690593">
        <w:rPr>
          <w:rFonts w:cs="Arial"/>
          <w:szCs w:val="22"/>
        </w:rPr>
        <w:t xml:space="preserve">A </w:t>
      </w:r>
      <w:r w:rsidRPr="00690593">
        <w:rPr>
          <w:rFonts w:cs="Arial"/>
          <w:szCs w:val="22"/>
          <w:lang w:val="mi-NZ"/>
        </w:rPr>
        <w:t>Whānau</w:t>
      </w:r>
      <w:r w:rsidRPr="00690593">
        <w:rPr>
          <w:rFonts w:cs="Arial"/>
          <w:szCs w:val="22"/>
        </w:rPr>
        <w:t xml:space="preserve"> </w:t>
      </w:r>
      <w:proofErr w:type="spellStart"/>
      <w:r w:rsidRPr="00690593">
        <w:rPr>
          <w:rFonts w:cs="Arial"/>
          <w:szCs w:val="22"/>
        </w:rPr>
        <w:t>Ora</w:t>
      </w:r>
      <w:proofErr w:type="spellEnd"/>
      <w:r w:rsidRPr="00690593">
        <w:rPr>
          <w:rFonts w:cs="Arial"/>
          <w:szCs w:val="22"/>
        </w:rPr>
        <w:t xml:space="preserve"> approach to health care recognises the interdependence of people; health and wellbeing are influenced and affected by the </w:t>
      </w:r>
      <w:r w:rsidR="002D0608">
        <w:rPr>
          <w:rFonts w:cs="Arial"/>
          <w:szCs w:val="22"/>
        </w:rPr>
        <w:t>‘</w:t>
      </w:r>
      <w:r w:rsidRPr="00690593">
        <w:rPr>
          <w:rFonts w:cs="Arial"/>
          <w:szCs w:val="22"/>
        </w:rPr>
        <w:t>collective</w:t>
      </w:r>
      <w:r w:rsidR="002D0608">
        <w:rPr>
          <w:rFonts w:cs="Arial"/>
          <w:szCs w:val="22"/>
        </w:rPr>
        <w:t>’</w:t>
      </w:r>
      <w:r w:rsidRPr="00690593">
        <w:rPr>
          <w:rFonts w:cs="Arial"/>
          <w:szCs w:val="22"/>
        </w:rPr>
        <w:t xml:space="preserve"> as well as the individual.</w:t>
      </w:r>
      <w:r w:rsidRPr="00536BD1">
        <w:rPr>
          <w:rFonts w:cs="Arial"/>
          <w:szCs w:val="22"/>
        </w:rPr>
        <w:t xml:space="preserve"> It is important to work with people in their social contexts</w:t>
      </w:r>
      <w:r w:rsidR="00D455BB">
        <w:rPr>
          <w:rFonts w:cs="Arial"/>
          <w:szCs w:val="22"/>
        </w:rPr>
        <w:t>,</w:t>
      </w:r>
      <w:r w:rsidRPr="00536BD1">
        <w:rPr>
          <w:rFonts w:cs="Arial"/>
          <w:szCs w:val="22"/>
        </w:rPr>
        <w:t xml:space="preserve"> and not just with the</w:t>
      </w:r>
      <w:r w:rsidR="00B20CD1">
        <w:rPr>
          <w:rFonts w:cs="Arial"/>
          <w:szCs w:val="22"/>
        </w:rPr>
        <w:t>ir physical symptoms.</w:t>
      </w:r>
    </w:p>
    <w:p w:rsidR="00536BD1" w:rsidRPr="00536BD1" w:rsidRDefault="00536BD1" w:rsidP="00B23817">
      <w:pPr>
        <w:spacing w:after="120"/>
        <w:rPr>
          <w:rFonts w:cs="Arial"/>
          <w:szCs w:val="22"/>
        </w:rPr>
      </w:pPr>
      <w:r w:rsidRPr="00536BD1">
        <w:rPr>
          <w:rFonts w:cs="Arial"/>
          <w:szCs w:val="22"/>
        </w:rPr>
        <w:t xml:space="preserve">The outcome of the </w:t>
      </w:r>
      <w:r w:rsidRPr="004812C2">
        <w:rPr>
          <w:rFonts w:cs="Arial"/>
          <w:szCs w:val="22"/>
          <w:lang w:val="mi-NZ"/>
        </w:rPr>
        <w:t>Whānau</w:t>
      </w:r>
      <w:r w:rsidRPr="00536BD1">
        <w:rPr>
          <w:rFonts w:cs="Arial"/>
          <w:szCs w:val="22"/>
        </w:rPr>
        <w:t xml:space="preserve"> </w:t>
      </w:r>
      <w:proofErr w:type="spellStart"/>
      <w:r w:rsidRPr="00536BD1">
        <w:rPr>
          <w:rFonts w:cs="Arial"/>
          <w:szCs w:val="22"/>
        </w:rPr>
        <w:t>Ora</w:t>
      </w:r>
      <w:proofErr w:type="spellEnd"/>
      <w:r w:rsidRPr="00536BD1">
        <w:rPr>
          <w:rFonts w:cs="Arial"/>
          <w:szCs w:val="22"/>
        </w:rPr>
        <w:t xml:space="preserve"> approach in health will be improved health outcomes for family/</w:t>
      </w:r>
      <w:r w:rsidRPr="004812C2">
        <w:rPr>
          <w:rFonts w:cs="Arial"/>
          <w:szCs w:val="22"/>
          <w:lang w:val="mi-NZ"/>
        </w:rPr>
        <w:t>whānau</w:t>
      </w:r>
      <w:r w:rsidRPr="00536BD1">
        <w:rPr>
          <w:rFonts w:cs="Arial"/>
          <w:szCs w:val="22"/>
        </w:rPr>
        <w:t xml:space="preserve"> through quality services that are integrated (across social sectors and within health), responsive and patient/family/</w:t>
      </w:r>
      <w:r w:rsidRPr="004812C2">
        <w:rPr>
          <w:rFonts w:cs="Arial"/>
          <w:szCs w:val="22"/>
          <w:lang w:val="mi-NZ"/>
        </w:rPr>
        <w:t>whānau</w:t>
      </w:r>
      <w:r w:rsidRPr="00536BD1">
        <w:rPr>
          <w:rFonts w:cs="Arial"/>
          <w:szCs w:val="22"/>
        </w:rPr>
        <w:t>-centred.</w:t>
      </w:r>
    </w:p>
    <w:p w:rsidR="00536BD1" w:rsidRPr="00536BD1" w:rsidRDefault="00536BD1" w:rsidP="00AF239A">
      <w:pPr>
        <w:keepNext/>
        <w:spacing w:after="120"/>
        <w:rPr>
          <w:rFonts w:cs="Arial"/>
          <w:szCs w:val="22"/>
        </w:rPr>
      </w:pPr>
      <w:r w:rsidRPr="00536BD1">
        <w:rPr>
          <w:rFonts w:cs="Arial"/>
          <w:szCs w:val="22"/>
        </w:rPr>
        <w:lastRenderedPageBreak/>
        <w:t xml:space="preserve">These standards address equity for </w:t>
      </w:r>
      <w:r w:rsidR="00557202">
        <w:rPr>
          <w:rFonts w:cs="Arial"/>
          <w:szCs w:val="22"/>
        </w:rPr>
        <w:t>Māori patients with lung cancer</w:t>
      </w:r>
      <w:r w:rsidR="00340F2F">
        <w:rPr>
          <w:rFonts w:cs="Arial"/>
          <w:szCs w:val="22"/>
        </w:rPr>
        <w:t xml:space="preserve"> in the following ways</w:t>
      </w:r>
      <w:r w:rsidRPr="00536BD1">
        <w:rPr>
          <w:rFonts w:cs="Arial"/>
          <w:szCs w:val="22"/>
        </w:rPr>
        <w:t>.</w:t>
      </w:r>
    </w:p>
    <w:p w:rsidR="00536BD1" w:rsidRPr="00536BD1" w:rsidRDefault="00D455BB" w:rsidP="00AF239A">
      <w:pPr>
        <w:pStyle w:val="Bullet"/>
      </w:pPr>
      <w:r>
        <w:t xml:space="preserve">They </w:t>
      </w:r>
      <w:r w:rsidR="00536BD1" w:rsidRPr="00536BD1">
        <w:t xml:space="preserve">focus on improving </w:t>
      </w:r>
      <w:r w:rsidR="003F5413" w:rsidRPr="002F36F4">
        <w:t>early detection</w:t>
      </w:r>
      <w:r w:rsidR="003F5413">
        <w:t xml:space="preserve">, </w:t>
      </w:r>
      <w:r w:rsidR="009E6916">
        <w:t xml:space="preserve">timely </w:t>
      </w:r>
      <w:r w:rsidR="00536BD1" w:rsidRPr="00536BD1">
        <w:t>access to diagnosis and treatment for all patients, including Māori and Pacific people.</w:t>
      </w:r>
    </w:p>
    <w:p w:rsidR="00536BD1" w:rsidRPr="00536BD1" w:rsidRDefault="00D455BB" w:rsidP="00AF239A">
      <w:pPr>
        <w:pStyle w:val="Bullet"/>
      </w:pPr>
      <w:r>
        <w:t>They require p</w:t>
      </w:r>
      <w:r w:rsidR="00536BD1" w:rsidRPr="00536BD1">
        <w:t xml:space="preserve">ractitioners </w:t>
      </w:r>
      <w:r>
        <w:t xml:space="preserve">to </w:t>
      </w:r>
      <w:r w:rsidR="00536BD1" w:rsidRPr="00536BD1">
        <w:t>focus on potential points of delay in diagnosis and management for Māori and Pacific people.</w:t>
      </w:r>
    </w:p>
    <w:p w:rsidR="002D0608" w:rsidRDefault="00D455BB" w:rsidP="00AF239A">
      <w:pPr>
        <w:pStyle w:val="Bullet"/>
      </w:pPr>
      <w:r>
        <w:t>They require services to identify b</w:t>
      </w:r>
      <w:r w:rsidR="00536BD1" w:rsidRPr="00536BD1">
        <w:t>arriers to attendance (</w:t>
      </w:r>
      <w:proofErr w:type="spellStart"/>
      <w:r w:rsidR="007C7A11">
        <w:t>eg</w:t>
      </w:r>
      <w:proofErr w:type="spellEnd"/>
      <w:r>
        <w:t>,</w:t>
      </w:r>
      <w:r w:rsidR="00536BD1" w:rsidRPr="00536BD1">
        <w:t xml:space="preserve"> mobility, cost, co</w:t>
      </w:r>
      <w:r w:rsidR="00AF239A">
        <w:noBreakHyphen/>
      </w:r>
      <w:r w:rsidR="00536BD1" w:rsidRPr="00536BD1">
        <w:t xml:space="preserve">morbidities and compliance issues) </w:t>
      </w:r>
      <w:r w:rsidR="000C2A57" w:rsidRPr="00536BD1">
        <w:t xml:space="preserve">at </w:t>
      </w:r>
      <w:r w:rsidR="000C2A57">
        <w:t>the</w:t>
      </w:r>
      <w:r w:rsidR="00330785">
        <w:t xml:space="preserve"> earliest opportunity</w:t>
      </w:r>
      <w:r w:rsidR="00C037E7">
        <w:t>.</w:t>
      </w:r>
    </w:p>
    <w:p w:rsidR="00536BD1" w:rsidRPr="00536BD1" w:rsidRDefault="00D455BB" w:rsidP="00AF239A">
      <w:pPr>
        <w:pStyle w:val="Bullet"/>
      </w:pPr>
      <w:r>
        <w:t>They require services to collect e</w:t>
      </w:r>
      <w:r w:rsidR="00536BD1" w:rsidRPr="00536BD1">
        <w:t>thnicity data on all measures</w:t>
      </w:r>
      <w:r w:rsidR="002F36F4">
        <w:t>/</w:t>
      </w:r>
      <w:r w:rsidR="00536BD1" w:rsidRPr="002F36F4">
        <w:t>indicators</w:t>
      </w:r>
      <w:r w:rsidR="00536BD1" w:rsidRPr="00536BD1">
        <w:t xml:space="preserve">, and use </w:t>
      </w:r>
      <w:r>
        <w:t xml:space="preserve">it </w:t>
      </w:r>
      <w:r w:rsidR="00536BD1" w:rsidRPr="00536BD1">
        <w:t>to identify and address disparities.</w:t>
      </w:r>
    </w:p>
    <w:p w:rsidR="00536BD1" w:rsidRPr="00536BD1" w:rsidRDefault="00D455BB" w:rsidP="00AF239A">
      <w:pPr>
        <w:pStyle w:val="Bullet"/>
      </w:pPr>
      <w:r>
        <w:t>They require that f</w:t>
      </w:r>
      <w:r w:rsidR="00536BD1" w:rsidRPr="00536BD1">
        <w:t>amily/</w:t>
      </w:r>
      <w:r w:rsidR="00536BD1" w:rsidRPr="004812C2">
        <w:rPr>
          <w:lang w:val="mi-NZ"/>
        </w:rPr>
        <w:t>whānau</w:t>
      </w:r>
      <w:r w:rsidR="00536BD1" w:rsidRPr="00536BD1">
        <w:t xml:space="preserve"> be involved in care coordination and supportive care.</w:t>
      </w:r>
    </w:p>
    <w:p w:rsidR="00536BD1" w:rsidRPr="00536BD1" w:rsidRDefault="00536BD1" w:rsidP="00AF239A">
      <w:pPr>
        <w:pStyle w:val="Bullet"/>
      </w:pPr>
      <w:r w:rsidRPr="00536BD1">
        <w:t xml:space="preserve">Good practice points </w:t>
      </w:r>
      <w:r w:rsidR="00D455BB">
        <w:t xml:space="preserve">stipulated in the standards </w:t>
      </w:r>
      <w:r w:rsidRPr="00536BD1">
        <w:t>include health literacy and cultural competency training for all health professionals involved in patient care.</w:t>
      </w:r>
    </w:p>
    <w:p w:rsidR="00666AD0" w:rsidRPr="00B20CD1" w:rsidRDefault="00666AD0" w:rsidP="00AF239A">
      <w:pPr>
        <w:pStyle w:val="Heading2"/>
      </w:pPr>
      <w:bookmarkStart w:id="13" w:name="_Toc399763952"/>
      <w:bookmarkStart w:id="14" w:name="_Toc448737397"/>
      <w:r w:rsidRPr="00A67DB4">
        <w:t>Format of the standards</w:t>
      </w:r>
      <w:bookmarkEnd w:id="13"/>
      <w:bookmarkEnd w:id="14"/>
    </w:p>
    <w:p w:rsidR="00666AD0" w:rsidRPr="007D24B9" w:rsidRDefault="00666AD0" w:rsidP="00AF13A0">
      <w:pPr>
        <w:shd w:val="clear" w:color="auto" w:fill="FFFFFF"/>
        <w:spacing w:after="120"/>
      </w:pPr>
      <w:r w:rsidRPr="007D24B9">
        <w:t xml:space="preserve">Each cluster of standards has a title that summarises the step of the patient journey or the area on which the standards are focused. This is followed by the standard itself, which explains the level of performance to be achieved. The rationale section explains why the standard is considered to be important. </w:t>
      </w:r>
      <w:r w:rsidR="00F42107" w:rsidRPr="007D24B9">
        <w:t xml:space="preserve">The </w:t>
      </w:r>
      <w:r w:rsidR="002D0608">
        <w:t>‘</w:t>
      </w:r>
      <w:r w:rsidR="007D24B9">
        <w:t>How do we measure the standard</w:t>
      </w:r>
      <w:r w:rsidR="002D0608">
        <w:t>’</w:t>
      </w:r>
      <w:r w:rsidR="007D24B9" w:rsidRPr="007D24B9">
        <w:t xml:space="preserve"> </w:t>
      </w:r>
      <w:r w:rsidR="00C10B3F" w:rsidRPr="007D24B9">
        <w:t xml:space="preserve">section provides </w:t>
      </w:r>
      <w:r w:rsidR="00F42107" w:rsidRPr="007D24B9">
        <w:t xml:space="preserve">the </w:t>
      </w:r>
      <w:r w:rsidR="0026780D" w:rsidRPr="007D24B9">
        <w:t xml:space="preserve">specific </w:t>
      </w:r>
      <w:r w:rsidR="00F42107" w:rsidRPr="007D24B9">
        <w:t xml:space="preserve">measures for the standard. </w:t>
      </w:r>
      <w:r w:rsidR="0026780D" w:rsidRPr="007D24B9">
        <w:t xml:space="preserve">The target </w:t>
      </w:r>
      <w:r w:rsidR="00C10B3F" w:rsidRPr="007D24B9">
        <w:t xml:space="preserve">section </w:t>
      </w:r>
      <w:r w:rsidR="0026780D" w:rsidRPr="007D24B9">
        <w:t xml:space="preserve">indicates the level </w:t>
      </w:r>
      <w:r w:rsidR="00C10B3F" w:rsidRPr="007D24B9">
        <w:t xml:space="preserve">services </w:t>
      </w:r>
      <w:r w:rsidR="0026780D" w:rsidRPr="007D24B9">
        <w:t xml:space="preserve">should </w:t>
      </w:r>
      <w:r w:rsidR="00C10B3F" w:rsidRPr="007D24B9">
        <w:t xml:space="preserve">aim for </w:t>
      </w:r>
      <w:r w:rsidR="0026780D" w:rsidRPr="007D24B9">
        <w:t xml:space="preserve">to achieve </w:t>
      </w:r>
      <w:r w:rsidR="00C10B3F" w:rsidRPr="007D24B9">
        <w:t xml:space="preserve">the </w:t>
      </w:r>
      <w:r w:rsidR="0026780D" w:rsidRPr="007D24B9">
        <w:t>standard.</w:t>
      </w:r>
    </w:p>
    <w:p w:rsidR="00B60BF7" w:rsidRPr="00B60BF7" w:rsidRDefault="00666AD0" w:rsidP="00B60BF7">
      <w:pPr>
        <w:shd w:val="clear" w:color="auto" w:fill="FFFFFF"/>
      </w:pPr>
      <w:r w:rsidRPr="007D24B9">
        <w:t xml:space="preserve">Attached to most of the clusters of standards are good practice points. Good practice points are supported by </w:t>
      </w:r>
      <w:r w:rsidR="00C10B3F" w:rsidRPr="00E8583D">
        <w:t xml:space="preserve">either </w:t>
      </w:r>
      <w:r w:rsidRPr="00E8583D">
        <w:t xml:space="preserve">the international literature, the opinion of the NLCWG or </w:t>
      </w:r>
      <w:r w:rsidR="00C10B3F" w:rsidRPr="00E8583D">
        <w:t xml:space="preserve">a </w:t>
      </w:r>
      <w:r w:rsidRPr="00E8583D">
        <w:t>consensus of feedback from consultation with New Zealand clinicians involved in providing care to patients with lung cancer.</w:t>
      </w:r>
      <w:bookmarkStart w:id="15" w:name="_Toc369803176"/>
    </w:p>
    <w:p w:rsidR="000C409F" w:rsidRDefault="00666AD0" w:rsidP="00AF239A">
      <w:pPr>
        <w:pStyle w:val="Heading2"/>
      </w:pPr>
      <w:bookmarkStart w:id="16" w:name="_Toc399763953"/>
      <w:bookmarkStart w:id="17" w:name="_Toc448737398"/>
      <w:r w:rsidRPr="00666AD0">
        <w:lastRenderedPageBreak/>
        <w:t>Standards of service provision pathway</w:t>
      </w:r>
      <w:bookmarkEnd w:id="15"/>
      <w:bookmarkEnd w:id="16"/>
      <w:bookmarkEnd w:id="17"/>
    </w:p>
    <w:p w:rsidR="00B9317A" w:rsidRDefault="00B9317A" w:rsidP="00C22FFD">
      <w:pPr>
        <w:keepNext/>
      </w:pPr>
      <w:r>
        <w:t xml:space="preserve">The lung cancer </w:t>
      </w:r>
      <w:r w:rsidR="00030EC5">
        <w:t xml:space="preserve">standards </w:t>
      </w:r>
      <w:r>
        <w:t>are reflected in the following pathway</w:t>
      </w:r>
      <w:r w:rsidR="00AF239A">
        <w:t>:</w:t>
      </w:r>
    </w:p>
    <w:p w:rsidR="003A0A33" w:rsidRDefault="00C22FFD" w:rsidP="003A0A33">
      <w:r>
        <w:rPr>
          <w:noProof/>
          <w:lang w:eastAsia="en-NZ"/>
        </w:rPr>
        <w:drawing>
          <wp:inline distT="0" distB="0" distL="0" distR="0" wp14:anchorId="2ECDCAF7" wp14:editId="27F03B3A">
            <wp:extent cx="5045825" cy="4057332"/>
            <wp:effectExtent l="0" t="0" r="254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52489" cy="4062691"/>
                    </a:xfrm>
                    <a:prstGeom prst="rect">
                      <a:avLst/>
                    </a:prstGeom>
                    <a:noFill/>
                  </pic:spPr>
                </pic:pic>
              </a:graphicData>
            </a:graphic>
          </wp:inline>
        </w:drawing>
      </w:r>
    </w:p>
    <w:p w:rsidR="00E64E91" w:rsidRPr="008A66DC" w:rsidRDefault="00E64E91" w:rsidP="00AF239A">
      <w:pPr>
        <w:pStyle w:val="Heading2"/>
      </w:pPr>
      <w:bookmarkStart w:id="18" w:name="_Toc399763954"/>
      <w:bookmarkStart w:id="19" w:name="_Toc448737399"/>
      <w:r w:rsidRPr="00483292">
        <w:t>Summary of the clinical standards for the management of lung cancer services</w:t>
      </w:r>
      <w:bookmarkEnd w:id="12"/>
      <w:bookmarkEnd w:id="18"/>
      <w:bookmarkEnd w:id="19"/>
    </w:p>
    <w:p w:rsidR="00E64E91" w:rsidRDefault="00E64E91" w:rsidP="00AF239A">
      <w:r w:rsidRPr="00AA7D6E">
        <w:t xml:space="preserve">The standards for the management of lung cancer have been </w:t>
      </w:r>
      <w:r w:rsidR="008A66DC">
        <w:t>divided into 10</w:t>
      </w:r>
      <w:r w:rsidR="00AF239A">
        <w:t> </w:t>
      </w:r>
      <w:r w:rsidR="008A66DC">
        <w:t>clusters:</w:t>
      </w:r>
    </w:p>
    <w:p w:rsidR="00E258FA" w:rsidRPr="00FA7020" w:rsidRDefault="00E258FA" w:rsidP="00CC3537">
      <w:pPr>
        <w:pStyle w:val="Bullet"/>
        <w:spacing w:before="90"/>
      </w:pPr>
      <w:r w:rsidRPr="00FA7020">
        <w:t>prevention and early identification</w:t>
      </w:r>
    </w:p>
    <w:p w:rsidR="00E64E91" w:rsidRPr="00025CE5" w:rsidRDefault="00E64E91" w:rsidP="00CC3537">
      <w:pPr>
        <w:pStyle w:val="Bullet"/>
        <w:spacing w:before="90"/>
      </w:pPr>
      <w:r w:rsidRPr="00025CE5">
        <w:t>timely access</w:t>
      </w:r>
      <w:r>
        <w:t xml:space="preserve"> to services</w:t>
      </w:r>
    </w:p>
    <w:p w:rsidR="002D0608" w:rsidRDefault="00BB65CF" w:rsidP="00CC3537">
      <w:pPr>
        <w:pStyle w:val="Bullet"/>
        <w:spacing w:before="90"/>
      </w:pPr>
      <w:r w:rsidRPr="00025CE5">
        <w:t xml:space="preserve">referral and </w:t>
      </w:r>
      <w:r w:rsidR="00E64E91" w:rsidRPr="00025CE5">
        <w:t>communication</w:t>
      </w:r>
    </w:p>
    <w:p w:rsidR="002D0608" w:rsidRDefault="00E64E91" w:rsidP="00CC3537">
      <w:pPr>
        <w:pStyle w:val="Bullet"/>
        <w:spacing w:before="90"/>
      </w:pPr>
      <w:r w:rsidRPr="00025CE5">
        <w:t>investigations</w:t>
      </w:r>
      <w:r w:rsidR="00505A59">
        <w:t>, diagnosis and staging</w:t>
      </w:r>
    </w:p>
    <w:p w:rsidR="00E64E91" w:rsidRDefault="00E64E91" w:rsidP="00CC3537">
      <w:pPr>
        <w:pStyle w:val="Bullet"/>
        <w:spacing w:before="90"/>
      </w:pPr>
      <w:r w:rsidRPr="00025CE5">
        <w:t xml:space="preserve">multidisciplinary </w:t>
      </w:r>
      <w:r>
        <w:t>care</w:t>
      </w:r>
    </w:p>
    <w:p w:rsidR="00E258FA" w:rsidRPr="00E258FA" w:rsidRDefault="00E258FA" w:rsidP="00CC3537">
      <w:pPr>
        <w:pStyle w:val="Bullet"/>
        <w:spacing w:before="90"/>
      </w:pPr>
      <w:r>
        <w:t>supportive care</w:t>
      </w:r>
    </w:p>
    <w:p w:rsidR="00E64E91" w:rsidRPr="00E258FA" w:rsidRDefault="00E64E91" w:rsidP="00CC3537">
      <w:pPr>
        <w:pStyle w:val="Bullet"/>
        <w:spacing w:before="90"/>
      </w:pPr>
      <w:r w:rsidRPr="00E258FA">
        <w:t>care coordination</w:t>
      </w:r>
    </w:p>
    <w:p w:rsidR="00E64E91" w:rsidRPr="00025CE5" w:rsidRDefault="00E64E91" w:rsidP="00CC3537">
      <w:pPr>
        <w:pStyle w:val="Bullet"/>
        <w:spacing w:before="90"/>
      </w:pPr>
      <w:r>
        <w:t>treatment</w:t>
      </w:r>
    </w:p>
    <w:p w:rsidR="00E258FA" w:rsidRDefault="00E64E91" w:rsidP="00CC3537">
      <w:pPr>
        <w:pStyle w:val="Bullet"/>
        <w:spacing w:before="90"/>
      </w:pPr>
      <w:r w:rsidRPr="00025CE5">
        <w:t>follow-up</w:t>
      </w:r>
      <w:r w:rsidR="00E258FA">
        <w:t xml:space="preserve"> and surveillance</w:t>
      </w:r>
    </w:p>
    <w:p w:rsidR="00E64E91" w:rsidRDefault="00E258FA" w:rsidP="00CC3537">
      <w:pPr>
        <w:pStyle w:val="Bullet"/>
        <w:spacing w:before="90"/>
      </w:pPr>
      <w:proofErr w:type="gramStart"/>
      <w:r w:rsidRPr="00FA7020">
        <w:t>clinical</w:t>
      </w:r>
      <w:proofErr w:type="gramEnd"/>
      <w:r w:rsidRPr="00FA7020">
        <w:t xml:space="preserve"> perfo</w:t>
      </w:r>
      <w:r>
        <w:t>rmance monitoring and research.</w:t>
      </w:r>
    </w:p>
    <w:p w:rsidR="00E64E91" w:rsidRPr="00025CE5" w:rsidRDefault="00E64E91" w:rsidP="00B23817">
      <w:r w:rsidRPr="00025CE5">
        <w:lastRenderedPageBreak/>
        <w:t>The standards are as follows</w:t>
      </w:r>
      <w:r>
        <w:t>.</w:t>
      </w:r>
    </w:p>
    <w:p w:rsidR="00811201" w:rsidRPr="004812C2" w:rsidRDefault="00811201" w:rsidP="00AF239A">
      <w:pPr>
        <w:pStyle w:val="Heading3"/>
      </w:pPr>
      <w:bookmarkStart w:id="20" w:name="_Toc360102696"/>
      <w:r w:rsidRPr="004812C2">
        <w:t>Cluster 1</w:t>
      </w:r>
      <w:r w:rsidR="00BA2A54" w:rsidRPr="004812C2">
        <w:t>:</w:t>
      </w:r>
      <w:r w:rsidR="00666AD0" w:rsidRPr="004812C2">
        <w:t xml:space="preserve"> </w:t>
      </w:r>
      <w:r w:rsidRPr="004812C2">
        <w:t>Prevention and early identification</w:t>
      </w:r>
    </w:p>
    <w:bookmarkEnd w:id="20"/>
    <w:p w:rsidR="006E7C35" w:rsidRPr="006E7C35" w:rsidRDefault="00811201" w:rsidP="004D5F3A">
      <w:pPr>
        <w:spacing w:before="180"/>
      </w:pPr>
      <w:r w:rsidRPr="00E7569B">
        <w:rPr>
          <w:b/>
        </w:rPr>
        <w:t>Standard 1.</w:t>
      </w:r>
      <w:r w:rsidR="006E7C35">
        <w:rPr>
          <w:b/>
        </w:rPr>
        <w:t>1</w:t>
      </w:r>
      <w:r w:rsidRPr="00E7569B">
        <w:rPr>
          <w:b/>
        </w:rPr>
        <w:t>:</w:t>
      </w:r>
      <w:r w:rsidRPr="00811201">
        <w:t xml:space="preserve"> </w:t>
      </w:r>
      <w:r w:rsidR="00263B16">
        <w:t xml:space="preserve">A chest X-ray should be requested for people presenting to general practice or equivalent organisation with symptoms potentially suggestive of lung cancer, or </w:t>
      </w:r>
      <w:r w:rsidR="00263B16" w:rsidRPr="000C1228">
        <w:t>it is documented</w:t>
      </w:r>
      <w:r w:rsidR="00263B16">
        <w:t xml:space="preserve"> why this </w:t>
      </w:r>
      <w:r w:rsidR="00263B16" w:rsidRPr="001F2F86">
        <w:t>was considered and not requested.</w:t>
      </w:r>
    </w:p>
    <w:p w:rsidR="00F45AA7" w:rsidRDefault="00185725" w:rsidP="004D5F3A">
      <w:pPr>
        <w:spacing w:before="180"/>
      </w:pPr>
      <w:r w:rsidRPr="00E7569B">
        <w:rPr>
          <w:b/>
        </w:rPr>
        <w:t>Standard 1.</w:t>
      </w:r>
      <w:r w:rsidR="006E7C35">
        <w:rPr>
          <w:b/>
        </w:rPr>
        <w:t>2</w:t>
      </w:r>
      <w:r w:rsidRPr="00CA3A62">
        <w:rPr>
          <w:b/>
        </w:rPr>
        <w:t>:</w:t>
      </w:r>
      <w:r w:rsidRPr="00185725">
        <w:t xml:space="preserve"> </w:t>
      </w:r>
      <w:r w:rsidR="006B237C">
        <w:t xml:space="preserve">Every organisation providing health services </w:t>
      </w:r>
      <w:r w:rsidR="00D85EA3">
        <w:t xml:space="preserve">should </w:t>
      </w:r>
      <w:r w:rsidR="006B237C">
        <w:t>have a written policy for managing abnormal results related to t</w:t>
      </w:r>
      <w:r w:rsidR="006B237C" w:rsidRPr="000227A2">
        <w:t>horacic imaging reports with a high suspicion of lung cancer</w:t>
      </w:r>
      <w:r w:rsidR="006B237C">
        <w:t>.</w:t>
      </w:r>
    </w:p>
    <w:p w:rsidR="00263B16" w:rsidRDefault="00684E99" w:rsidP="004D5F3A">
      <w:pPr>
        <w:spacing w:before="180"/>
      </w:pPr>
      <w:r w:rsidRPr="00684E99">
        <w:rPr>
          <w:b/>
        </w:rPr>
        <w:t>Standard 1.3:</w:t>
      </w:r>
      <w:r>
        <w:t xml:space="preserve"> </w:t>
      </w:r>
      <w:r w:rsidR="00263B16" w:rsidRPr="00202126">
        <w:t>95</w:t>
      </w:r>
      <w:r w:rsidR="00FC2344">
        <w:t xml:space="preserve"> percent</w:t>
      </w:r>
      <w:r w:rsidR="00263B16" w:rsidRPr="00202126">
        <w:t xml:space="preserve"> of hospital patients who smoke and are seen by a health practitioner in a public hospital are offered brief advice and support to quit smoking.</w:t>
      </w:r>
      <w:r w:rsidR="00263B16">
        <w:t xml:space="preserve"> </w:t>
      </w:r>
      <w:r w:rsidR="00263B16" w:rsidRPr="00EC5851">
        <w:t>90</w:t>
      </w:r>
      <w:r w:rsidR="00FC2344">
        <w:t xml:space="preserve"> percent</w:t>
      </w:r>
      <w:r w:rsidR="00263B16" w:rsidRPr="00EC5851">
        <w:t xml:space="preserve"> of PHO enrolled patients who smoke have been offered help to quit smoking by a health care practitioner in the last 15 months.</w:t>
      </w:r>
    </w:p>
    <w:p w:rsidR="00E64E91" w:rsidRPr="002212FF" w:rsidRDefault="00811201" w:rsidP="00AF239A">
      <w:pPr>
        <w:pStyle w:val="Heading3"/>
      </w:pPr>
      <w:r w:rsidRPr="00D659B2">
        <w:t>Cluster 2</w:t>
      </w:r>
      <w:r w:rsidR="00CA3A62">
        <w:t>:</w:t>
      </w:r>
      <w:r w:rsidR="00CA3A62" w:rsidRPr="00CA3A62">
        <w:t xml:space="preserve"> </w:t>
      </w:r>
      <w:r w:rsidR="00E64E91" w:rsidRPr="002212FF">
        <w:t>Timely access to services</w:t>
      </w:r>
    </w:p>
    <w:p w:rsidR="00F45AA7" w:rsidRPr="004D5F3A" w:rsidRDefault="00573636" w:rsidP="004D5F3A">
      <w:pPr>
        <w:spacing w:before="180"/>
        <w:rPr>
          <w:spacing w:val="-2"/>
        </w:rPr>
      </w:pPr>
      <w:r w:rsidRPr="004D5F3A">
        <w:rPr>
          <w:b/>
          <w:spacing w:val="-2"/>
        </w:rPr>
        <w:t>Standard 2.1</w:t>
      </w:r>
      <w:r w:rsidR="00185725" w:rsidRPr="004D5F3A">
        <w:rPr>
          <w:b/>
          <w:spacing w:val="-2"/>
        </w:rPr>
        <w:t>:</w:t>
      </w:r>
      <w:r w:rsidR="00185725" w:rsidRPr="004D5F3A">
        <w:rPr>
          <w:spacing w:val="-2"/>
        </w:rPr>
        <w:t xml:space="preserve"> </w:t>
      </w:r>
      <w:r w:rsidR="006B237C" w:rsidRPr="004D5F3A">
        <w:rPr>
          <w:spacing w:val="-2"/>
        </w:rPr>
        <w:t>Patients requiring treatment for lung cancer, irrespective of route of referral, should start treatment within 62 days of secondary care receiving a referral.</w:t>
      </w:r>
    </w:p>
    <w:p w:rsidR="00D52308" w:rsidRPr="004D5F3A" w:rsidRDefault="00D52308" w:rsidP="004D5F3A">
      <w:pPr>
        <w:spacing w:before="180"/>
        <w:rPr>
          <w:spacing w:val="-2"/>
        </w:rPr>
      </w:pPr>
      <w:r w:rsidRPr="004D5F3A">
        <w:rPr>
          <w:b/>
          <w:spacing w:val="-2"/>
        </w:rPr>
        <w:t>Standard 2.2:</w:t>
      </w:r>
      <w:r w:rsidR="00F151A0" w:rsidRPr="004D5F3A">
        <w:rPr>
          <w:spacing w:val="-2"/>
        </w:rPr>
        <w:t xml:space="preserve"> </w:t>
      </w:r>
      <w:r w:rsidR="00A7407E" w:rsidRPr="004D5F3A">
        <w:rPr>
          <w:spacing w:val="-2"/>
        </w:rPr>
        <w:t>Patients with clinical and/or radiological signs and symptoms suggestive of lung cancer should be seen by a specialist with an interest in respiratory medicine within 14 calendar days of secondary care receiving a referral.</w:t>
      </w:r>
    </w:p>
    <w:p w:rsidR="002D0608" w:rsidRDefault="004918C6" w:rsidP="00AF239A">
      <w:pPr>
        <w:pStyle w:val="Heading3"/>
      </w:pPr>
      <w:r w:rsidRPr="002212FF">
        <w:t>Cluster 3</w:t>
      </w:r>
      <w:r w:rsidR="008007AC" w:rsidRPr="002212FF">
        <w:t>:</w:t>
      </w:r>
      <w:r w:rsidR="008007AC" w:rsidRPr="00CA3A62">
        <w:t xml:space="preserve"> </w:t>
      </w:r>
      <w:r w:rsidR="00F06D53" w:rsidRPr="002212FF">
        <w:t>Referral and c</w:t>
      </w:r>
      <w:r w:rsidR="00E64E91" w:rsidRPr="002212FF">
        <w:t>ommunication</w:t>
      </w:r>
    </w:p>
    <w:p w:rsidR="00FD4F17" w:rsidRPr="00AF239A" w:rsidRDefault="00E64E91" w:rsidP="004D5F3A">
      <w:pPr>
        <w:spacing w:before="180"/>
      </w:pPr>
      <w:r w:rsidRPr="00E7569B">
        <w:rPr>
          <w:b/>
        </w:rPr>
        <w:t xml:space="preserve">Standard </w:t>
      </w:r>
      <w:r w:rsidR="004918C6" w:rsidRPr="00E7569B">
        <w:rPr>
          <w:b/>
        </w:rPr>
        <w:t>3.1</w:t>
      </w:r>
      <w:r w:rsidR="008007AC" w:rsidRPr="00E7569B">
        <w:rPr>
          <w:b/>
        </w:rPr>
        <w:t>:</w:t>
      </w:r>
      <w:r w:rsidRPr="00CA26CF">
        <w:t xml:space="preserve"> </w:t>
      </w:r>
      <w:r w:rsidR="00A7407E">
        <w:t>Each cancer centre should provide a lung cancer investigation and management pathway that is easily accessible to all members of the lung cancer service</w:t>
      </w:r>
      <w:r w:rsidR="00505A59">
        <w:t>,</w:t>
      </w:r>
      <w:r w:rsidR="00A7407E">
        <w:t xml:space="preserve"> including primary care general practices.</w:t>
      </w:r>
    </w:p>
    <w:p w:rsidR="00915A7F" w:rsidRPr="002212FF" w:rsidRDefault="00500840" w:rsidP="00AF239A">
      <w:pPr>
        <w:pStyle w:val="Heading3"/>
      </w:pPr>
      <w:r w:rsidRPr="002212FF">
        <w:t xml:space="preserve">Cluster </w:t>
      </w:r>
      <w:r w:rsidR="00E64E91" w:rsidRPr="002212FF">
        <w:t>4</w:t>
      </w:r>
      <w:r w:rsidR="008007AC" w:rsidRPr="002212FF">
        <w:t xml:space="preserve">: </w:t>
      </w:r>
      <w:r w:rsidR="00F06D53" w:rsidRPr="002212FF">
        <w:t>Investigation</w:t>
      </w:r>
      <w:r w:rsidR="00505A59">
        <w:t>s</w:t>
      </w:r>
      <w:r w:rsidR="00F06D53" w:rsidRPr="002212FF">
        <w:t>, diagnosis and staging</w:t>
      </w:r>
    </w:p>
    <w:p w:rsidR="009E6916" w:rsidRPr="004D5F3A" w:rsidRDefault="007E08A2" w:rsidP="004D5F3A">
      <w:pPr>
        <w:spacing w:before="180"/>
        <w:rPr>
          <w:rFonts w:eastAsia="Calibri"/>
        </w:rPr>
      </w:pPr>
      <w:r w:rsidRPr="004D5F3A">
        <w:rPr>
          <w:b/>
        </w:rPr>
        <w:t>Standard 4.1</w:t>
      </w:r>
      <w:r w:rsidR="009E6916" w:rsidRPr="004D5F3A">
        <w:rPr>
          <w:b/>
        </w:rPr>
        <w:t>:</w:t>
      </w:r>
      <w:r w:rsidR="009E6916" w:rsidRPr="004D5F3A">
        <w:rPr>
          <w:rFonts w:eastAsia="Calibri"/>
        </w:rPr>
        <w:t xml:space="preserve"> Computed tomography (CT) should be performed before a bronchoscopy.</w:t>
      </w:r>
    </w:p>
    <w:p w:rsidR="009E6916" w:rsidRDefault="007E08A2" w:rsidP="004D5F3A">
      <w:pPr>
        <w:spacing w:before="180"/>
        <w:rPr>
          <w:rFonts w:eastAsia="Calibri"/>
        </w:rPr>
      </w:pPr>
      <w:r>
        <w:rPr>
          <w:b/>
        </w:rPr>
        <w:t>Standard 4.2</w:t>
      </w:r>
      <w:r w:rsidR="009E6916" w:rsidRPr="00E7569B">
        <w:rPr>
          <w:b/>
        </w:rPr>
        <w:t>:</w:t>
      </w:r>
      <w:r w:rsidR="009E6916" w:rsidRPr="007F36E4">
        <w:rPr>
          <w:rFonts w:eastAsia="Calibri"/>
        </w:rPr>
        <w:t xml:space="preserve"> All </w:t>
      </w:r>
      <w:r w:rsidR="00F45AA7">
        <w:rPr>
          <w:rFonts w:eastAsia="Calibri"/>
        </w:rPr>
        <w:t xml:space="preserve">patients </w:t>
      </w:r>
      <w:r w:rsidR="009E6916" w:rsidRPr="007F36E4">
        <w:rPr>
          <w:rFonts w:eastAsia="Calibri"/>
        </w:rPr>
        <w:t xml:space="preserve">should have timely access to </w:t>
      </w:r>
      <w:proofErr w:type="spellStart"/>
      <w:r w:rsidR="009E6916" w:rsidRPr="007F36E4">
        <w:rPr>
          <w:rFonts w:eastAsia="Calibri"/>
        </w:rPr>
        <w:t>endobronchial</w:t>
      </w:r>
      <w:proofErr w:type="spellEnd"/>
      <w:r w:rsidR="009E6916" w:rsidRPr="007F36E4">
        <w:rPr>
          <w:rFonts w:eastAsia="Calibri"/>
        </w:rPr>
        <w:t xml:space="preserve"> ultrasound (EBUS).</w:t>
      </w:r>
    </w:p>
    <w:p w:rsidR="003A3F61" w:rsidRDefault="007E08A2" w:rsidP="004D5F3A">
      <w:pPr>
        <w:spacing w:before="180"/>
        <w:rPr>
          <w:rFonts w:eastAsia="Calibri"/>
        </w:rPr>
      </w:pPr>
      <w:r>
        <w:rPr>
          <w:b/>
        </w:rPr>
        <w:t>Standard 4.3:</w:t>
      </w:r>
      <w:r w:rsidRPr="00CA3A62">
        <w:t xml:space="preserve"> </w:t>
      </w:r>
      <w:r w:rsidRPr="007F36E4">
        <w:rPr>
          <w:rFonts w:eastAsia="Calibri"/>
        </w:rPr>
        <w:t xml:space="preserve">All </w:t>
      </w:r>
      <w:r w:rsidR="00F45AA7">
        <w:rPr>
          <w:rFonts w:eastAsia="Calibri"/>
        </w:rPr>
        <w:t xml:space="preserve">patients </w:t>
      </w:r>
      <w:r w:rsidRPr="007F36E4">
        <w:rPr>
          <w:rFonts w:eastAsia="Calibri"/>
        </w:rPr>
        <w:t>should have timely access to</w:t>
      </w:r>
      <w:r>
        <w:rPr>
          <w:rFonts w:eastAsia="Calibri"/>
        </w:rPr>
        <w:t xml:space="preserve"> CT</w:t>
      </w:r>
      <w:r w:rsidR="00505A59">
        <w:rPr>
          <w:rFonts w:eastAsia="Calibri"/>
        </w:rPr>
        <w:t>-</w:t>
      </w:r>
      <w:r w:rsidR="00605350">
        <w:rPr>
          <w:rFonts w:eastAsia="Calibri"/>
        </w:rPr>
        <w:t>guided</w:t>
      </w:r>
      <w:r>
        <w:rPr>
          <w:rFonts w:eastAsia="Calibri"/>
        </w:rPr>
        <w:t xml:space="preserve"> biopsy</w:t>
      </w:r>
      <w:r w:rsidR="00605350">
        <w:rPr>
          <w:rFonts w:eastAsia="Calibri"/>
        </w:rPr>
        <w:t>.</w:t>
      </w:r>
    </w:p>
    <w:p w:rsidR="002D0608" w:rsidRDefault="007E08A2" w:rsidP="004D5F3A">
      <w:pPr>
        <w:spacing w:before="180"/>
        <w:rPr>
          <w:rFonts w:eastAsia="Calibri"/>
        </w:rPr>
      </w:pPr>
      <w:r>
        <w:rPr>
          <w:b/>
        </w:rPr>
        <w:t>Standard 4.4</w:t>
      </w:r>
      <w:r w:rsidR="009E6916" w:rsidRPr="00E7569B">
        <w:rPr>
          <w:b/>
        </w:rPr>
        <w:t>:</w:t>
      </w:r>
      <w:r w:rsidR="009E6916" w:rsidRPr="007F36E4">
        <w:rPr>
          <w:rFonts w:eastAsia="Calibri"/>
        </w:rPr>
        <w:t xml:space="preserve"> </w:t>
      </w:r>
      <w:r w:rsidR="00235810" w:rsidRPr="007F36E4">
        <w:rPr>
          <w:rFonts w:eastAsia="Calibri"/>
        </w:rPr>
        <w:t xml:space="preserve">Staging positron emission tomography and computed tomography (PET-CT) should be performed in patients with suspected or confirmed </w:t>
      </w:r>
      <w:r w:rsidR="00235810">
        <w:rPr>
          <w:rFonts w:eastAsia="Calibri"/>
        </w:rPr>
        <w:t>small</w:t>
      </w:r>
      <w:r w:rsidR="00C61BB7">
        <w:rPr>
          <w:rFonts w:eastAsia="Calibri"/>
        </w:rPr>
        <w:t>-cell lung cancer</w:t>
      </w:r>
      <w:r w:rsidR="00235810">
        <w:rPr>
          <w:rFonts w:eastAsia="Calibri"/>
        </w:rPr>
        <w:t xml:space="preserve"> and </w:t>
      </w:r>
      <w:r w:rsidR="00235810" w:rsidRPr="007F36E4">
        <w:rPr>
          <w:rFonts w:eastAsia="Calibri"/>
        </w:rPr>
        <w:t xml:space="preserve">non-small-cell lung cancer </w:t>
      </w:r>
      <w:r w:rsidR="00C61BB7">
        <w:rPr>
          <w:rFonts w:eastAsia="Calibri"/>
        </w:rPr>
        <w:t xml:space="preserve">(NSCLC) </w:t>
      </w:r>
      <w:r w:rsidR="00235810" w:rsidRPr="007F36E4">
        <w:rPr>
          <w:rFonts w:eastAsia="Calibri"/>
        </w:rPr>
        <w:t>suitable for</w:t>
      </w:r>
      <w:r w:rsidR="00235810">
        <w:rPr>
          <w:rFonts w:eastAsia="Calibri"/>
        </w:rPr>
        <w:t xml:space="preserve"> potentially curative treatment.</w:t>
      </w:r>
    </w:p>
    <w:p w:rsidR="003A0D14" w:rsidRDefault="003A0D14" w:rsidP="004D5F3A">
      <w:pPr>
        <w:spacing w:before="180"/>
        <w:rPr>
          <w:rFonts w:eastAsia="Calibri"/>
        </w:rPr>
      </w:pPr>
      <w:r w:rsidRPr="00235810">
        <w:rPr>
          <w:rFonts w:eastAsia="Calibri"/>
          <w:b/>
        </w:rPr>
        <w:t>Standard 4.5:</w:t>
      </w:r>
      <w:r>
        <w:rPr>
          <w:rFonts w:eastAsia="Calibri"/>
        </w:rPr>
        <w:t xml:space="preserve"> </w:t>
      </w:r>
      <w:r w:rsidR="00A7407E">
        <w:rPr>
          <w:rFonts w:eastAsia="Calibri"/>
        </w:rPr>
        <w:t>All lung cancer patients should have timely access to appropriate molecular testing</w:t>
      </w:r>
      <w:r w:rsidR="00235810">
        <w:rPr>
          <w:rFonts w:eastAsia="Calibri"/>
        </w:rPr>
        <w:t>.</w:t>
      </w:r>
    </w:p>
    <w:p w:rsidR="00235810" w:rsidRDefault="00235810" w:rsidP="004D5F3A">
      <w:pPr>
        <w:spacing w:before="180"/>
        <w:rPr>
          <w:rFonts w:eastAsia="Calibri" w:cs="Arial"/>
          <w:szCs w:val="22"/>
          <w:lang w:eastAsia="en-NZ"/>
        </w:rPr>
      </w:pPr>
      <w:r w:rsidRPr="00235810">
        <w:rPr>
          <w:rFonts w:eastAsia="Calibri"/>
          <w:b/>
        </w:rPr>
        <w:lastRenderedPageBreak/>
        <w:t>Standard 4.6:</w:t>
      </w:r>
      <w:r>
        <w:rPr>
          <w:rFonts w:eastAsia="Calibri"/>
        </w:rPr>
        <w:t xml:space="preserve"> </w:t>
      </w:r>
      <w:r w:rsidR="00A7407E">
        <w:rPr>
          <w:rFonts w:eastAsia="Calibri" w:cs="Arial"/>
          <w:szCs w:val="22"/>
          <w:lang w:eastAsia="en-NZ"/>
        </w:rPr>
        <w:t>Reports and recommendations</w:t>
      </w:r>
      <w:r w:rsidR="00A7407E" w:rsidRPr="00401CEB">
        <w:rPr>
          <w:rFonts w:eastAsia="Calibri" w:cs="Arial"/>
          <w:szCs w:val="22"/>
          <w:lang w:eastAsia="en-NZ"/>
        </w:rPr>
        <w:t xml:space="preserve"> regarding key interventions </w:t>
      </w:r>
      <w:r w:rsidR="00182D3D">
        <w:rPr>
          <w:rFonts w:eastAsia="Calibri" w:cs="Arial"/>
          <w:szCs w:val="22"/>
          <w:lang w:eastAsia="en-NZ"/>
        </w:rPr>
        <w:t>(</w:t>
      </w:r>
      <w:proofErr w:type="spellStart"/>
      <w:r w:rsidR="007C7A11">
        <w:rPr>
          <w:rFonts w:eastAsia="Calibri" w:cs="Arial"/>
          <w:szCs w:val="22"/>
          <w:lang w:eastAsia="en-NZ"/>
        </w:rPr>
        <w:t>eg</w:t>
      </w:r>
      <w:proofErr w:type="spellEnd"/>
      <w:r w:rsidR="00182D3D">
        <w:rPr>
          <w:rFonts w:eastAsia="Calibri" w:cs="Arial"/>
          <w:szCs w:val="22"/>
          <w:lang w:eastAsia="en-NZ"/>
        </w:rPr>
        <w:t>,</w:t>
      </w:r>
      <w:r w:rsidR="00A7407E" w:rsidRPr="00401CEB">
        <w:rPr>
          <w:rFonts w:eastAsia="Calibri" w:cs="Arial"/>
          <w:szCs w:val="22"/>
          <w:lang w:eastAsia="en-NZ"/>
        </w:rPr>
        <w:t xml:space="preserve"> radiology investigations </w:t>
      </w:r>
      <w:r w:rsidR="00A7407E">
        <w:rPr>
          <w:rFonts w:eastAsia="Calibri" w:cs="Arial"/>
          <w:szCs w:val="22"/>
          <w:lang w:eastAsia="en-NZ"/>
        </w:rPr>
        <w:t xml:space="preserve">and </w:t>
      </w:r>
      <w:r w:rsidR="00A7407E" w:rsidRPr="00401CEB">
        <w:rPr>
          <w:rFonts w:eastAsia="Calibri" w:cs="Arial"/>
          <w:szCs w:val="22"/>
          <w:lang w:eastAsia="en-NZ"/>
        </w:rPr>
        <w:t>pathology tests</w:t>
      </w:r>
      <w:r w:rsidR="00182D3D">
        <w:rPr>
          <w:rFonts w:eastAsia="Calibri" w:cs="Arial"/>
          <w:szCs w:val="22"/>
          <w:lang w:eastAsia="en-NZ"/>
        </w:rPr>
        <w:t>)</w:t>
      </w:r>
      <w:r w:rsidR="00A7407E" w:rsidRPr="00401CEB">
        <w:rPr>
          <w:rFonts w:eastAsia="Calibri" w:cs="Arial"/>
          <w:szCs w:val="22"/>
          <w:lang w:eastAsia="en-NZ"/>
        </w:rPr>
        <w:t xml:space="preserve"> </w:t>
      </w:r>
      <w:r w:rsidR="009D604A">
        <w:rPr>
          <w:rFonts w:eastAsia="Calibri" w:cs="Arial"/>
          <w:szCs w:val="22"/>
          <w:lang w:eastAsia="en-NZ"/>
        </w:rPr>
        <w:t xml:space="preserve">should be </w:t>
      </w:r>
      <w:r w:rsidR="00A7407E" w:rsidRPr="00401CEB">
        <w:rPr>
          <w:rFonts w:eastAsia="Calibri" w:cs="Arial"/>
          <w:szCs w:val="22"/>
          <w:lang w:eastAsia="en-NZ"/>
        </w:rPr>
        <w:t xml:space="preserve">communicated to the </w:t>
      </w:r>
      <w:r w:rsidR="00A7407E">
        <w:rPr>
          <w:rFonts w:eastAsia="Calibri" w:cs="Arial"/>
          <w:szCs w:val="22"/>
          <w:lang w:eastAsia="en-NZ"/>
        </w:rPr>
        <w:t xml:space="preserve">appropriate member of the </w:t>
      </w:r>
      <w:r w:rsidR="00A7407E" w:rsidRPr="00401CEB">
        <w:rPr>
          <w:rFonts w:eastAsia="Calibri" w:cs="Arial"/>
          <w:szCs w:val="22"/>
          <w:lang w:eastAsia="en-NZ"/>
        </w:rPr>
        <w:t>lung cancer team</w:t>
      </w:r>
      <w:r w:rsidR="00A7407E">
        <w:rPr>
          <w:rFonts w:eastAsia="Calibri" w:cs="Arial"/>
          <w:szCs w:val="22"/>
          <w:lang w:eastAsia="en-NZ"/>
        </w:rPr>
        <w:t xml:space="preserve"> (usually referring clinician)</w:t>
      </w:r>
      <w:r w:rsidR="00A7407E" w:rsidRPr="00401CEB">
        <w:rPr>
          <w:rFonts w:eastAsia="Calibri" w:cs="Arial"/>
          <w:szCs w:val="22"/>
          <w:lang w:eastAsia="en-NZ"/>
        </w:rPr>
        <w:t xml:space="preserve"> </w:t>
      </w:r>
      <w:r w:rsidR="00A7407E" w:rsidRPr="00FB60E9">
        <w:rPr>
          <w:rFonts w:eastAsia="Calibri" w:cs="Arial"/>
          <w:szCs w:val="22"/>
          <w:lang w:eastAsia="en-NZ"/>
        </w:rPr>
        <w:t>within</w:t>
      </w:r>
      <w:r w:rsidR="00A7407E" w:rsidRPr="00401CEB">
        <w:rPr>
          <w:rFonts w:eastAsia="Calibri" w:cs="Arial"/>
          <w:szCs w:val="22"/>
          <w:lang w:eastAsia="en-NZ"/>
        </w:rPr>
        <w:t xml:space="preserve"> </w:t>
      </w:r>
      <w:r w:rsidR="00A7407E">
        <w:rPr>
          <w:rFonts w:eastAsia="Calibri" w:cs="Arial"/>
          <w:szCs w:val="22"/>
          <w:lang w:eastAsia="en-NZ"/>
        </w:rPr>
        <w:t xml:space="preserve">seven </w:t>
      </w:r>
      <w:r w:rsidR="00A7407E" w:rsidRPr="00401CEB">
        <w:rPr>
          <w:rFonts w:eastAsia="Calibri" w:cs="Arial"/>
          <w:szCs w:val="22"/>
          <w:lang w:eastAsia="en-NZ"/>
        </w:rPr>
        <w:t>days</w:t>
      </w:r>
      <w:r w:rsidR="00A7407E">
        <w:rPr>
          <w:rFonts w:eastAsia="Calibri" w:cs="Arial"/>
          <w:szCs w:val="22"/>
          <w:lang w:eastAsia="en-NZ"/>
        </w:rPr>
        <w:t xml:space="preserve"> of the intervention</w:t>
      </w:r>
      <w:r w:rsidR="00A7407E" w:rsidRPr="00401CEB">
        <w:rPr>
          <w:rFonts w:eastAsia="Calibri" w:cs="Arial"/>
          <w:szCs w:val="22"/>
          <w:lang w:eastAsia="en-NZ"/>
        </w:rPr>
        <w:t>.</w:t>
      </w:r>
    </w:p>
    <w:p w:rsidR="00605350" w:rsidRDefault="00500840" w:rsidP="00AF239A">
      <w:pPr>
        <w:pStyle w:val="Heading3"/>
      </w:pPr>
      <w:r w:rsidRPr="002212FF">
        <w:t xml:space="preserve">Cluster </w:t>
      </w:r>
      <w:r w:rsidR="00E64E91" w:rsidRPr="002212FF">
        <w:t>5</w:t>
      </w:r>
      <w:r w:rsidR="008007AC" w:rsidRPr="002212FF">
        <w:t>:</w:t>
      </w:r>
      <w:r w:rsidR="00E64E91" w:rsidRPr="002212FF">
        <w:t xml:space="preserve"> Multidisciplinary care</w:t>
      </w:r>
    </w:p>
    <w:p w:rsidR="002212FF" w:rsidRPr="0024393D" w:rsidRDefault="00E64E91" w:rsidP="004D5F3A">
      <w:pPr>
        <w:spacing w:before="180"/>
      </w:pPr>
      <w:r w:rsidRPr="00E7569B">
        <w:rPr>
          <w:b/>
        </w:rPr>
        <w:t xml:space="preserve">Standard </w:t>
      </w:r>
      <w:r w:rsidR="00500840" w:rsidRPr="00E7569B">
        <w:rPr>
          <w:b/>
        </w:rPr>
        <w:t>5.1</w:t>
      </w:r>
      <w:r w:rsidRPr="00E7569B">
        <w:rPr>
          <w:b/>
        </w:rPr>
        <w:t>:</w:t>
      </w:r>
      <w:r w:rsidRPr="00CA26CF">
        <w:t xml:space="preserve"> </w:t>
      </w:r>
      <w:r w:rsidR="007530D3" w:rsidRPr="000759DB">
        <w:t>All patients with lung cancer</w:t>
      </w:r>
      <w:r w:rsidR="007530D3">
        <w:t xml:space="preserve"> </w:t>
      </w:r>
      <w:r w:rsidR="00182D3D">
        <w:t xml:space="preserve">should </w:t>
      </w:r>
      <w:r w:rsidR="007530D3">
        <w:t xml:space="preserve">be discussed at a </w:t>
      </w:r>
      <w:r w:rsidR="007530D3" w:rsidRPr="000759DB">
        <w:t>multidisciplinary meeting</w:t>
      </w:r>
      <w:r w:rsidR="007530D3">
        <w:t xml:space="preserve"> (MDM).</w:t>
      </w:r>
    </w:p>
    <w:p w:rsidR="00500840" w:rsidRPr="002212FF" w:rsidRDefault="00500840" w:rsidP="00AF239A">
      <w:pPr>
        <w:pStyle w:val="Heading3"/>
      </w:pPr>
      <w:r w:rsidRPr="002212FF">
        <w:t>Cluster 6</w:t>
      </w:r>
      <w:r w:rsidR="008007AC" w:rsidRPr="002212FF">
        <w:t>:</w:t>
      </w:r>
      <w:r w:rsidRPr="00CA3A62">
        <w:t xml:space="preserve"> </w:t>
      </w:r>
      <w:r w:rsidRPr="002212FF">
        <w:t>Supportive care</w:t>
      </w:r>
    </w:p>
    <w:p w:rsidR="002212FF" w:rsidRPr="0024393D" w:rsidRDefault="00500840" w:rsidP="004D5F3A">
      <w:pPr>
        <w:spacing w:before="180"/>
      </w:pPr>
      <w:r w:rsidRPr="00E7569B">
        <w:rPr>
          <w:b/>
        </w:rPr>
        <w:t>Standard 6.1</w:t>
      </w:r>
      <w:r w:rsidRPr="00CA3A62">
        <w:rPr>
          <w:b/>
        </w:rPr>
        <w:t>:</w:t>
      </w:r>
      <w:r w:rsidRPr="00500840">
        <w:t xml:space="preserve"> </w:t>
      </w:r>
      <w:r w:rsidR="002A5DD1" w:rsidRPr="001C6821">
        <w:t>All patients with lung cancer and their family/</w:t>
      </w:r>
      <w:r w:rsidR="002A5DD1" w:rsidRPr="006C1B90">
        <w:rPr>
          <w:lang w:val="mi-NZ"/>
        </w:rPr>
        <w:t>whānau</w:t>
      </w:r>
      <w:r w:rsidR="002A5DD1" w:rsidRPr="001C6821">
        <w:t xml:space="preserve"> </w:t>
      </w:r>
      <w:r w:rsidR="00182D3D">
        <w:t xml:space="preserve">should </w:t>
      </w:r>
      <w:r w:rsidR="002A5DD1" w:rsidRPr="001C6821">
        <w:t xml:space="preserve">have equitable and coordinated access to appropriate medical, allied health and supportive care services, in accordance with </w:t>
      </w:r>
      <w:r w:rsidR="002A5DD1" w:rsidRPr="00FB60E9">
        <w:rPr>
          <w:i/>
        </w:rPr>
        <w:t>Guidance for Improving Supportive Care for Adults with Cancer in New Zealand</w:t>
      </w:r>
      <w:r w:rsidR="002A5DD1" w:rsidRPr="001C6821">
        <w:t xml:space="preserve"> (Ministry of Health 2010).</w:t>
      </w:r>
    </w:p>
    <w:p w:rsidR="00E64E91" w:rsidRPr="002212FF" w:rsidRDefault="00500840" w:rsidP="00AF239A">
      <w:pPr>
        <w:pStyle w:val="Heading3"/>
      </w:pPr>
      <w:r w:rsidRPr="002212FF">
        <w:t xml:space="preserve">Cluster </w:t>
      </w:r>
      <w:r w:rsidR="00E64E91" w:rsidRPr="002212FF">
        <w:t>7</w:t>
      </w:r>
      <w:r w:rsidR="008007AC" w:rsidRPr="002212FF">
        <w:t>:</w:t>
      </w:r>
      <w:r w:rsidR="00E64E91" w:rsidRPr="00CA3A62">
        <w:t xml:space="preserve"> </w:t>
      </w:r>
      <w:r w:rsidR="00E64E91" w:rsidRPr="002212FF">
        <w:t>Care coordination</w:t>
      </w:r>
    </w:p>
    <w:p w:rsidR="00605350" w:rsidRPr="00DA6434" w:rsidRDefault="00E64E91" w:rsidP="004D5F3A">
      <w:pPr>
        <w:spacing w:before="180"/>
      </w:pPr>
      <w:r w:rsidRPr="00E7569B">
        <w:rPr>
          <w:b/>
        </w:rPr>
        <w:t xml:space="preserve">Standard </w:t>
      </w:r>
      <w:r w:rsidR="00500840" w:rsidRPr="00E7569B">
        <w:rPr>
          <w:b/>
        </w:rPr>
        <w:t>7.1</w:t>
      </w:r>
      <w:r w:rsidRPr="00E7569B">
        <w:rPr>
          <w:b/>
        </w:rPr>
        <w:t>:</w:t>
      </w:r>
      <w:r w:rsidRPr="00CA26CF">
        <w:t xml:space="preserve"> </w:t>
      </w:r>
      <w:r w:rsidR="00A7407E" w:rsidRPr="00CA26CF">
        <w:t xml:space="preserve">All patients with suspected lung cancer should have a nominated point of contact, ideally a nurse who specialises in cancer care, to </w:t>
      </w:r>
      <w:r w:rsidR="00A7407E">
        <w:t xml:space="preserve">arrange for provision of </w:t>
      </w:r>
      <w:r w:rsidR="00A7407E" w:rsidRPr="00CA26CF">
        <w:t xml:space="preserve">psychosocial support, information and coordination of </w:t>
      </w:r>
      <w:r w:rsidR="00182D3D">
        <w:t>their</w:t>
      </w:r>
      <w:r w:rsidR="00A7407E" w:rsidRPr="00CA26CF">
        <w:t xml:space="preserve"> journey.</w:t>
      </w:r>
    </w:p>
    <w:p w:rsidR="002D0608" w:rsidRDefault="00C30F3A" w:rsidP="00AF239A">
      <w:pPr>
        <w:pStyle w:val="Heading3"/>
      </w:pPr>
      <w:r w:rsidRPr="002212FF">
        <w:t>Cluster 8: T</w:t>
      </w:r>
      <w:r w:rsidR="00E64E91" w:rsidRPr="002212FF">
        <w:t>reatment</w:t>
      </w:r>
    </w:p>
    <w:p w:rsidR="002D0608" w:rsidRDefault="007D5E7B" w:rsidP="004D5F3A">
      <w:pPr>
        <w:spacing w:before="180"/>
      </w:pPr>
      <w:r w:rsidRPr="00E7569B">
        <w:rPr>
          <w:b/>
        </w:rPr>
        <w:t>Standard 8.1:</w:t>
      </w:r>
      <w:r w:rsidRPr="00B46696">
        <w:t xml:space="preserve"> </w:t>
      </w:r>
      <w:r w:rsidR="00A7407E" w:rsidRPr="00E7569B">
        <w:t xml:space="preserve">Patients </w:t>
      </w:r>
      <w:r w:rsidR="00A7407E" w:rsidRPr="000759DB">
        <w:t xml:space="preserve">who cannot be offered curative treatment, </w:t>
      </w:r>
      <w:r w:rsidR="00A7407E">
        <w:t xml:space="preserve">or </w:t>
      </w:r>
      <w:r w:rsidR="00182D3D">
        <w:t xml:space="preserve">who decline </w:t>
      </w:r>
      <w:r w:rsidR="00A7407E">
        <w:t>curative treatment</w:t>
      </w:r>
      <w:r w:rsidR="00182D3D">
        <w:t>,</w:t>
      </w:r>
      <w:r w:rsidR="00A7407E">
        <w:t xml:space="preserve"> </w:t>
      </w:r>
      <w:r w:rsidR="00A7407E" w:rsidRPr="000759DB">
        <w:t xml:space="preserve">as well as those with </w:t>
      </w:r>
      <w:r w:rsidR="00A7407E">
        <w:t xml:space="preserve">a </w:t>
      </w:r>
      <w:r w:rsidR="00A7407E" w:rsidRPr="000759DB">
        <w:t>significant symptom burden, should be offered early access to palliative care services</w:t>
      </w:r>
      <w:r w:rsidR="00A7407E">
        <w:t>.</w:t>
      </w:r>
    </w:p>
    <w:p w:rsidR="00E64E91" w:rsidRPr="002212FF" w:rsidRDefault="00F06D53" w:rsidP="00AF239A">
      <w:pPr>
        <w:pStyle w:val="Heading3"/>
      </w:pPr>
      <w:r w:rsidRPr="002212FF">
        <w:t>Cluster 9:</w:t>
      </w:r>
      <w:r w:rsidR="00E64E91" w:rsidRPr="002212FF">
        <w:t xml:space="preserve"> Follow-up</w:t>
      </w:r>
      <w:r w:rsidRPr="002212FF">
        <w:t xml:space="preserve"> and surveillance</w:t>
      </w:r>
    </w:p>
    <w:p w:rsidR="00A67DB4" w:rsidRDefault="00E64E91" w:rsidP="004D5F3A">
      <w:pPr>
        <w:spacing w:before="180"/>
      </w:pPr>
      <w:r w:rsidRPr="00E7569B">
        <w:rPr>
          <w:b/>
        </w:rPr>
        <w:t xml:space="preserve">Standard </w:t>
      </w:r>
      <w:r w:rsidR="00A67DB4" w:rsidRPr="00E7569B">
        <w:rPr>
          <w:b/>
        </w:rPr>
        <w:t>9.1</w:t>
      </w:r>
      <w:r w:rsidRPr="00E7569B">
        <w:rPr>
          <w:b/>
        </w:rPr>
        <w:t>:</w:t>
      </w:r>
      <w:r w:rsidRPr="00CA26CF">
        <w:t xml:space="preserve"> </w:t>
      </w:r>
      <w:r w:rsidR="00A7407E" w:rsidRPr="00CA26CF">
        <w:t xml:space="preserve">All patients and their general practitioners </w:t>
      </w:r>
      <w:r w:rsidR="0029478A">
        <w:t xml:space="preserve">(GPs) </w:t>
      </w:r>
      <w:r w:rsidR="00A7407E" w:rsidRPr="00CA26CF">
        <w:t>should be given written information regarding a follow-up plan together with a nominated point of contact if there is a clinical concern</w:t>
      </w:r>
      <w:r w:rsidR="00A7407E">
        <w:t>.</w:t>
      </w:r>
    </w:p>
    <w:p w:rsidR="00605350" w:rsidRPr="002212FF" w:rsidRDefault="00A67DB4" w:rsidP="00AF239A">
      <w:pPr>
        <w:pStyle w:val="Heading3"/>
      </w:pPr>
      <w:r w:rsidRPr="002212FF">
        <w:t>Cluster 10: Clinical performance monitoring and research</w:t>
      </w:r>
    </w:p>
    <w:p w:rsidR="002D0608" w:rsidRDefault="009E6916" w:rsidP="004D5F3A">
      <w:pPr>
        <w:spacing w:before="180"/>
      </w:pPr>
      <w:r w:rsidRPr="00605350">
        <w:rPr>
          <w:rFonts w:cs="Arial"/>
          <w:b/>
          <w:bCs/>
        </w:rPr>
        <w:t>Standard</w:t>
      </w:r>
      <w:r w:rsidRPr="00E7569B">
        <w:rPr>
          <w:b/>
        </w:rPr>
        <w:t xml:space="preserve"> 10</w:t>
      </w:r>
      <w:r w:rsidR="00185725" w:rsidRPr="00E7569B">
        <w:rPr>
          <w:b/>
        </w:rPr>
        <w:t>.1:</w:t>
      </w:r>
      <w:r w:rsidR="00185725" w:rsidRPr="00B46696">
        <w:t xml:space="preserve"> </w:t>
      </w:r>
      <w:r w:rsidR="00A7407E" w:rsidRPr="00B46696">
        <w:t>All patients with lung cancer should be entered into a lung cancer database</w:t>
      </w:r>
      <w:r w:rsidR="00A7407E">
        <w:t xml:space="preserve"> capturing the </w:t>
      </w:r>
      <w:r w:rsidR="00F63C64">
        <w:t xml:space="preserve">provisional </w:t>
      </w:r>
      <w:r w:rsidR="00A7407E">
        <w:t>national lung cancer core data</w:t>
      </w:r>
      <w:r w:rsidR="00182D3D">
        <w:t xml:space="preserve"> </w:t>
      </w:r>
      <w:r w:rsidR="00A7407E">
        <w:t>set</w:t>
      </w:r>
      <w:r w:rsidR="001E083F">
        <w:t>.</w:t>
      </w:r>
    </w:p>
    <w:p w:rsidR="002A5DD1" w:rsidRPr="00F871D8" w:rsidRDefault="00605350" w:rsidP="004D5F3A">
      <w:pPr>
        <w:spacing w:before="180"/>
        <w:rPr>
          <w:rFonts w:eastAsia="Calibri" w:cs="Arial"/>
          <w:lang w:eastAsia="en-NZ"/>
        </w:rPr>
      </w:pPr>
      <w:bookmarkStart w:id="21" w:name="_Toc290903013"/>
      <w:r w:rsidRPr="00E7569B">
        <w:rPr>
          <w:b/>
        </w:rPr>
        <w:t xml:space="preserve">Standard </w:t>
      </w:r>
      <w:r w:rsidR="003A3F61">
        <w:rPr>
          <w:b/>
        </w:rPr>
        <w:t>10.2</w:t>
      </w:r>
      <w:r w:rsidRPr="00E7569B">
        <w:rPr>
          <w:b/>
        </w:rPr>
        <w:t>:</w:t>
      </w:r>
      <w:r w:rsidRPr="00B46696">
        <w:t xml:space="preserve"> </w:t>
      </w:r>
      <w:r w:rsidR="00E54B87" w:rsidRPr="00F871D8">
        <w:rPr>
          <w:rFonts w:eastAsia="Calibri" w:cs="Arial"/>
          <w:lang w:eastAsia="en-NZ"/>
        </w:rPr>
        <w:t xml:space="preserve">Each regional cancer centre or unit managing patients with lung cancer </w:t>
      </w:r>
      <w:r w:rsidR="00E54B87">
        <w:rPr>
          <w:rFonts w:eastAsia="Calibri" w:cs="Arial"/>
          <w:lang w:eastAsia="en-NZ"/>
        </w:rPr>
        <w:t xml:space="preserve">should employ </w:t>
      </w:r>
      <w:r w:rsidR="00E54B87" w:rsidRPr="00F871D8">
        <w:rPr>
          <w:rFonts w:eastAsia="Calibri" w:cs="Arial"/>
          <w:lang w:eastAsia="en-NZ"/>
        </w:rPr>
        <w:t>designated lead clinicians with specialist knowledge of lung cancer to provide leadership.</w:t>
      </w:r>
      <w:r w:rsidR="00E54B87">
        <w:rPr>
          <w:rFonts w:eastAsia="Calibri" w:cs="Arial"/>
          <w:lang w:eastAsia="en-NZ"/>
        </w:rPr>
        <w:t xml:space="preserve"> A regional lung cancer work group should be established to facilitate this.</w:t>
      </w:r>
    </w:p>
    <w:p w:rsidR="00605350" w:rsidRDefault="002A5DD1" w:rsidP="004D5F3A">
      <w:pPr>
        <w:spacing w:before="180"/>
      </w:pPr>
      <w:r w:rsidRPr="002A5DD1">
        <w:rPr>
          <w:b/>
        </w:rPr>
        <w:t>Standard 10.3:</w:t>
      </w:r>
      <w:r>
        <w:rPr>
          <w:b/>
        </w:rPr>
        <w:t xml:space="preserve"> </w:t>
      </w:r>
      <w:r w:rsidRPr="00B46696">
        <w:t xml:space="preserve">Patients with cancer </w:t>
      </w:r>
      <w:r w:rsidR="00182D3D">
        <w:t>should be</w:t>
      </w:r>
      <w:r w:rsidR="00182D3D" w:rsidRPr="00B46696">
        <w:t xml:space="preserve"> </w:t>
      </w:r>
      <w:r w:rsidRPr="00B46696">
        <w:t>offered the opportunity to participate in research projects and clinical trials where they are available.</w:t>
      </w:r>
    </w:p>
    <w:p w:rsidR="00AF239A" w:rsidRDefault="00AF239A" w:rsidP="00AF239A">
      <w:bookmarkStart w:id="22" w:name="_Toc399763955"/>
      <w:r>
        <w:br w:type="page"/>
      </w:r>
    </w:p>
    <w:p w:rsidR="007279AC" w:rsidRPr="007279AC" w:rsidRDefault="00AF239A" w:rsidP="00AF239A">
      <w:pPr>
        <w:pStyle w:val="Heading1"/>
      </w:pPr>
      <w:bookmarkStart w:id="23" w:name="_Toc448737400"/>
      <w:r>
        <w:lastRenderedPageBreak/>
        <w:t>1</w:t>
      </w:r>
      <w:r>
        <w:tab/>
      </w:r>
      <w:r w:rsidR="009E6916" w:rsidRPr="004812C2">
        <w:t xml:space="preserve">Prevention and early </w:t>
      </w:r>
      <w:bookmarkEnd w:id="21"/>
      <w:bookmarkEnd w:id="22"/>
      <w:r w:rsidR="006F5650">
        <w:t>identification</w:t>
      </w:r>
      <w:bookmarkEnd w:id="23"/>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D32909" w:rsidTr="00B850E5">
        <w:trPr>
          <w:cantSplit/>
        </w:trPr>
        <w:tc>
          <w:tcPr>
            <w:tcW w:w="1843" w:type="dxa"/>
            <w:shd w:val="clear" w:color="auto" w:fill="auto"/>
          </w:tcPr>
          <w:p w:rsidR="006E7C35" w:rsidRPr="00640EE6" w:rsidRDefault="00D32909" w:rsidP="00BC2ADB">
            <w:pPr>
              <w:pStyle w:val="Heading2"/>
              <w:keepNext w:val="0"/>
              <w:spacing w:before="120"/>
              <w:rPr>
                <w:sz w:val="24"/>
                <w:szCs w:val="24"/>
              </w:rPr>
            </w:pPr>
            <w:bookmarkStart w:id="24" w:name="_Toc448737401"/>
            <w:r w:rsidRPr="00640EE6">
              <w:rPr>
                <w:sz w:val="24"/>
                <w:szCs w:val="24"/>
              </w:rPr>
              <w:t xml:space="preserve">Standard </w:t>
            </w:r>
            <w:r w:rsidR="006E7C35" w:rsidRPr="00640EE6">
              <w:rPr>
                <w:sz w:val="24"/>
                <w:szCs w:val="24"/>
              </w:rPr>
              <w:t>1.1</w:t>
            </w:r>
            <w:bookmarkEnd w:id="24"/>
          </w:p>
        </w:tc>
        <w:tc>
          <w:tcPr>
            <w:tcW w:w="6095" w:type="dxa"/>
            <w:shd w:val="clear" w:color="auto" w:fill="auto"/>
          </w:tcPr>
          <w:p w:rsidR="00C112E5" w:rsidRPr="006E7C35" w:rsidRDefault="00562514" w:rsidP="00554571">
            <w:pPr>
              <w:pStyle w:val="TableText"/>
            </w:pPr>
            <w:r>
              <w:t>A chest X</w:t>
            </w:r>
            <w:r w:rsidR="00EC5851">
              <w:t>-</w:t>
            </w:r>
            <w:r>
              <w:t>ray should be requested for p</w:t>
            </w:r>
            <w:r w:rsidR="001C40B8">
              <w:t>eople</w:t>
            </w:r>
            <w:r w:rsidR="00C112E5">
              <w:t xml:space="preserve"> presenting to </w:t>
            </w:r>
            <w:r w:rsidR="009B77AF">
              <w:t>g</w:t>
            </w:r>
            <w:r w:rsidR="00C112E5">
              <w:t xml:space="preserve">eneral </w:t>
            </w:r>
            <w:r w:rsidR="009B77AF">
              <w:t>p</w:t>
            </w:r>
            <w:r w:rsidR="00C112E5">
              <w:t xml:space="preserve">ractice or equivalent organisation with symptoms </w:t>
            </w:r>
            <w:r w:rsidR="001A0247">
              <w:t xml:space="preserve">potentially </w:t>
            </w:r>
            <w:r w:rsidR="00C112E5">
              <w:t xml:space="preserve">suggestive of lung </w:t>
            </w:r>
            <w:r w:rsidR="00372BE9">
              <w:t>cancer</w:t>
            </w:r>
            <w:r w:rsidR="00505A59">
              <w:t>,</w:t>
            </w:r>
            <w:r w:rsidR="001F2F86">
              <w:t xml:space="preserve"> or </w:t>
            </w:r>
            <w:r w:rsidR="00A40AB5" w:rsidRPr="000C1228">
              <w:t xml:space="preserve">it is </w:t>
            </w:r>
            <w:r w:rsidR="001F2F86" w:rsidRPr="000C1228">
              <w:t>document</w:t>
            </w:r>
            <w:r w:rsidR="00A40AB5" w:rsidRPr="000C1228">
              <w:t>ed</w:t>
            </w:r>
            <w:r w:rsidR="001F2F86">
              <w:t xml:space="preserve"> why this </w:t>
            </w:r>
            <w:r w:rsidR="00C112E5" w:rsidRPr="001F2F86">
              <w:t>was considered and not requested.</w:t>
            </w:r>
          </w:p>
        </w:tc>
      </w:tr>
    </w:tbl>
    <w:p w:rsidR="00554571" w:rsidRDefault="00B850E5" w:rsidP="00BC2ADB">
      <w:pPr>
        <w:pStyle w:val="Heading3"/>
      </w:pPr>
      <w:r>
        <w:t>Rationale</w:t>
      </w:r>
    </w:p>
    <w:p w:rsidR="00B850E5" w:rsidRDefault="00B850E5" w:rsidP="00B850E5">
      <w:r>
        <w:t>Chest X-rays can lead to earlier diagnosis of lung cancer.</w:t>
      </w:r>
    </w:p>
    <w:p w:rsidR="00B850E5" w:rsidRDefault="00B850E5" w:rsidP="00B850E5">
      <w:r w:rsidRPr="00395A43">
        <w:t xml:space="preserve">International initiatives such as the Doncaster project </w:t>
      </w:r>
      <w:r>
        <w:t>found</w:t>
      </w:r>
      <w:r w:rsidRPr="00395A43">
        <w:t xml:space="preserve"> that 65</w:t>
      </w:r>
      <w:r>
        <w:t xml:space="preserve"> percent</w:t>
      </w:r>
      <w:r w:rsidRPr="00395A43">
        <w:t xml:space="preserve"> of patients diagnosed with lung cancer </w:t>
      </w:r>
      <w:r>
        <w:t>had</w:t>
      </w:r>
      <w:r w:rsidRPr="00395A43">
        <w:t xml:space="preserve"> not </w:t>
      </w:r>
      <w:r>
        <w:t>had</w:t>
      </w:r>
      <w:r w:rsidRPr="00395A43">
        <w:t xml:space="preserve"> a chest</w:t>
      </w:r>
      <w:r>
        <w:t xml:space="preserve"> X</w:t>
      </w:r>
      <w:r w:rsidRPr="00395A43">
        <w:t>-ray in the five years prior to diagnosis</w:t>
      </w:r>
      <w:r>
        <w:t>,</w:t>
      </w:r>
      <w:r w:rsidRPr="00395A43">
        <w:t xml:space="preserve"> </w:t>
      </w:r>
      <w:r>
        <w:t>even though</w:t>
      </w:r>
      <w:r w:rsidRPr="00395A43">
        <w:t xml:space="preserve"> many had </w:t>
      </w:r>
      <w:r>
        <w:t xml:space="preserve">had </w:t>
      </w:r>
      <w:r w:rsidRPr="00395A43">
        <w:t xml:space="preserve">symptoms warranting investigation. </w:t>
      </w:r>
      <w:r>
        <w:t>A g</w:t>
      </w:r>
      <w:r w:rsidRPr="00395A43">
        <w:t>eneral practice audit indic</w:t>
      </w:r>
      <w:r>
        <w:t xml:space="preserve">ated that if services had </w:t>
      </w:r>
      <w:r w:rsidRPr="00395A43">
        <w:t>strict</w:t>
      </w:r>
      <w:r>
        <w:t>ly</w:t>
      </w:r>
      <w:r w:rsidRPr="00395A43">
        <w:t xml:space="preserve"> adhere</w:t>
      </w:r>
      <w:r>
        <w:t>d</w:t>
      </w:r>
      <w:r w:rsidRPr="00395A43">
        <w:t xml:space="preserve"> to </w:t>
      </w:r>
      <w:r>
        <w:t xml:space="preserve">the </w:t>
      </w:r>
      <w:r w:rsidRPr="00395A43">
        <w:t>National Institute for Clinical Excellence guidelines (</w:t>
      </w:r>
      <w:r>
        <w:t>NICE</w:t>
      </w:r>
      <w:r w:rsidRPr="00395A43">
        <w:t xml:space="preserve"> 2005)</w:t>
      </w:r>
      <w:r>
        <w:t xml:space="preserve"> they could have requested another 20 chest X-rays a week</w:t>
      </w:r>
      <w:r w:rsidRPr="00395A43">
        <w:t>.</w:t>
      </w:r>
    </w:p>
    <w:p w:rsidR="001A5030" w:rsidRDefault="001A5030" w:rsidP="001A5030">
      <w:pPr>
        <w:pStyle w:val="References"/>
      </w:pPr>
      <w:r w:rsidRPr="001A5030">
        <w:rPr>
          <w:rFonts w:cs="Times New Roman"/>
          <w:iCs w:val="0"/>
          <w:sz w:val="22"/>
        </w:rPr>
        <w:t xml:space="preserve">The </w:t>
      </w:r>
      <w:r>
        <w:rPr>
          <w:rFonts w:cs="Times New Roman"/>
          <w:iCs w:val="0"/>
          <w:sz w:val="22"/>
        </w:rPr>
        <w:t>high suspicion of lung cancer definition</w:t>
      </w:r>
      <w:r w:rsidRPr="001A5030">
        <w:rPr>
          <w:rFonts w:cs="Times New Roman"/>
          <w:iCs w:val="0"/>
          <w:sz w:val="22"/>
        </w:rPr>
        <w:t xml:space="preserve"> </w:t>
      </w:r>
      <w:r>
        <w:rPr>
          <w:rFonts w:cs="Times New Roman"/>
          <w:iCs w:val="0"/>
          <w:sz w:val="22"/>
        </w:rPr>
        <w:t xml:space="preserve">is set out in the recently updated </w:t>
      </w:r>
      <w:r w:rsidRPr="001A5030">
        <w:rPr>
          <w:rFonts w:cs="Times New Roman"/>
          <w:iCs w:val="0"/>
          <w:sz w:val="22"/>
        </w:rPr>
        <w:t>Faster Cancer Treatment</w:t>
      </w:r>
      <w:r>
        <w:rPr>
          <w:rFonts w:cs="Times New Roman"/>
          <w:iCs w:val="0"/>
          <w:sz w:val="22"/>
        </w:rPr>
        <w:t>:</w:t>
      </w:r>
      <w:r w:rsidRPr="001A5030">
        <w:rPr>
          <w:rFonts w:cs="Times New Roman"/>
          <w:iCs w:val="0"/>
          <w:sz w:val="22"/>
        </w:rPr>
        <w:t xml:space="preserve"> </w:t>
      </w:r>
      <w:r>
        <w:rPr>
          <w:rFonts w:cs="Times New Roman"/>
          <w:iCs w:val="0"/>
          <w:sz w:val="22"/>
        </w:rPr>
        <w:t>Hi</w:t>
      </w:r>
      <w:r w:rsidRPr="001A5030">
        <w:rPr>
          <w:rFonts w:cs="Times New Roman"/>
          <w:iCs w:val="0"/>
          <w:sz w:val="22"/>
        </w:rPr>
        <w:t xml:space="preserve">gh suspicion of </w:t>
      </w:r>
      <w:r>
        <w:rPr>
          <w:rFonts w:cs="Times New Roman"/>
          <w:iCs w:val="0"/>
          <w:sz w:val="22"/>
        </w:rPr>
        <w:t>cancer definitions (Ministry of Health 2016).</w:t>
      </w:r>
    </w:p>
    <w:p w:rsidR="00B850E5" w:rsidRPr="007F36E4" w:rsidRDefault="00B850E5" w:rsidP="00BC2ADB">
      <w:pPr>
        <w:pStyle w:val="Heading3"/>
        <w:rPr>
          <w:rFonts w:eastAsia="Calibri"/>
        </w:rPr>
      </w:pPr>
      <w:r>
        <w:rPr>
          <w:rFonts w:eastAsia="Calibri"/>
          <w:lang w:eastAsia="en-NZ"/>
        </w:rPr>
        <w:t>How do we measure the standard</w:t>
      </w:r>
    </w:p>
    <w:p w:rsidR="00B850E5" w:rsidRDefault="00B850E5" w:rsidP="00B850E5">
      <w:r>
        <w:t>Undertake a r</w:t>
      </w:r>
      <w:r w:rsidRPr="009337F8">
        <w:t xml:space="preserve">eview </w:t>
      </w:r>
      <w:r>
        <w:t xml:space="preserve">against the standard </w:t>
      </w:r>
      <w:r w:rsidRPr="009337F8">
        <w:t>of 50 consecutive patients or the total number (if less than 50 per annum) for whom referrals to the</w:t>
      </w:r>
      <w:r>
        <w:t xml:space="preserve"> district health board</w:t>
      </w:r>
      <w:r w:rsidRPr="009337F8">
        <w:rPr>
          <w:color w:val="1F497D"/>
        </w:rPr>
        <w:t xml:space="preserve"> </w:t>
      </w:r>
      <w:r>
        <w:rPr>
          <w:color w:val="1F497D"/>
        </w:rPr>
        <w:t>(</w:t>
      </w:r>
      <w:r w:rsidRPr="009337F8">
        <w:t>DHB</w:t>
      </w:r>
      <w:r>
        <w:t>)</w:t>
      </w:r>
      <w:r w:rsidRPr="009337F8">
        <w:t xml:space="preserve"> respiratory service (or equivalent) were</w:t>
      </w:r>
      <w:r w:rsidRPr="009337F8">
        <w:rPr>
          <w:color w:val="1F497D"/>
        </w:rPr>
        <w:t xml:space="preserve"> </w:t>
      </w:r>
      <w:r w:rsidRPr="009337F8">
        <w:t xml:space="preserve">triaged as a </w:t>
      </w:r>
      <w:r>
        <w:t>‘</w:t>
      </w:r>
      <w:r w:rsidRPr="009337F8">
        <w:t>high suspicion of cancer</w:t>
      </w:r>
      <w:r>
        <w:t>’</w:t>
      </w:r>
      <w:r w:rsidRPr="009337F8">
        <w:rPr>
          <w:color w:val="1F497D"/>
        </w:rPr>
        <w:t xml:space="preserve"> </w:t>
      </w:r>
      <w:r w:rsidRPr="009337F8">
        <w:t>and needing to be seen within two weeks.</w:t>
      </w:r>
    </w:p>
    <w:p w:rsidR="00B850E5" w:rsidRPr="007B2F34" w:rsidRDefault="00B850E5" w:rsidP="00B850E5">
      <w:pPr>
        <w:rPr>
          <w:rFonts w:cs="Arial"/>
        </w:rPr>
      </w:pPr>
      <w:r>
        <w:t>Undertake a r</w:t>
      </w:r>
      <w:r w:rsidRPr="009337F8">
        <w:t xml:space="preserve">eview of associated general practice (or equivalent organisation) and DHB (including </w:t>
      </w:r>
      <w:r>
        <w:t>e</w:t>
      </w:r>
      <w:r w:rsidRPr="009337F8">
        <w:t xml:space="preserve">mergency </w:t>
      </w:r>
      <w:r>
        <w:t>d</w:t>
      </w:r>
      <w:r w:rsidRPr="009337F8">
        <w:t>epartment) clinical records to identify prior opportunities to request chest X-rays for high</w:t>
      </w:r>
      <w:r>
        <w:t>-</w:t>
      </w:r>
      <w:r w:rsidRPr="009337F8">
        <w:t>risk patients or those with red flag symptoms that might indicate a suspicion of cancer. In cases where a chest X-ray was not ordered</w:t>
      </w:r>
      <w:r>
        <w:t>,</w:t>
      </w:r>
      <w:r w:rsidRPr="009337F8">
        <w:t xml:space="preserve"> there was documentation as to why this was considered and not requested.</w:t>
      </w:r>
    </w:p>
    <w:p w:rsidR="00B850E5" w:rsidRPr="007F36E4" w:rsidRDefault="00B850E5" w:rsidP="00BC2ADB">
      <w:pPr>
        <w:pStyle w:val="Heading3"/>
        <w:rPr>
          <w:rFonts w:eastAsia="Calibri"/>
        </w:rPr>
      </w:pPr>
      <w:r>
        <w:rPr>
          <w:rFonts w:eastAsia="Calibri"/>
          <w:lang w:eastAsia="en-NZ"/>
        </w:rPr>
        <w:t>Target</w:t>
      </w:r>
    </w:p>
    <w:p w:rsidR="00B850E5" w:rsidRPr="009337F8" w:rsidRDefault="00B850E5" w:rsidP="00B850E5">
      <w:pPr>
        <w:rPr>
          <w:rFonts w:eastAsia="Calibri" w:cs="Arial"/>
        </w:rPr>
      </w:pPr>
      <w:r w:rsidRPr="009337F8">
        <w:rPr>
          <w:rFonts w:eastAsia="Calibri" w:cs="Arial"/>
        </w:rPr>
        <w:t>95</w:t>
      </w:r>
      <w:r>
        <w:rPr>
          <w:rFonts w:eastAsia="Calibri" w:cs="Arial"/>
        </w:rPr>
        <w:t xml:space="preserve"> per</w:t>
      </w:r>
      <w:r w:rsidRPr="00B850E5">
        <w:rPr>
          <w:rFonts w:eastAsia="Calibri"/>
        </w:rPr>
        <w:t>c</w:t>
      </w:r>
      <w:r>
        <w:rPr>
          <w:rFonts w:eastAsia="Calibri" w:cs="Arial"/>
        </w:rPr>
        <w:t>ent</w:t>
      </w:r>
      <w:r w:rsidRPr="009337F8">
        <w:rPr>
          <w:rFonts w:eastAsia="Calibri" w:cs="Arial"/>
        </w:rPr>
        <w:t xml:space="preserve"> </w:t>
      </w:r>
      <w:r w:rsidRPr="009337F8">
        <w:t xml:space="preserve">of </w:t>
      </w:r>
      <w:r>
        <w:t xml:space="preserve">eligible patients meet </w:t>
      </w:r>
      <w:r w:rsidRPr="009337F8">
        <w:t>the standard.</w:t>
      </w:r>
    </w:p>
    <w:p w:rsidR="00B850E5" w:rsidRPr="007F36E4" w:rsidRDefault="00B850E5" w:rsidP="00BC2ADB">
      <w:pPr>
        <w:pStyle w:val="Heading3"/>
        <w:rPr>
          <w:rFonts w:eastAsia="Calibri"/>
        </w:rPr>
      </w:pPr>
      <w:r w:rsidRPr="007F36E4">
        <w:rPr>
          <w:rFonts w:eastAsia="Calibri"/>
        </w:rPr>
        <w:t>Monitoring requirement</w:t>
      </w:r>
    </w:p>
    <w:p w:rsidR="00B850E5" w:rsidRDefault="00B850E5" w:rsidP="00B850E5">
      <w:pPr>
        <w:rPr>
          <w:rFonts w:eastAsia="Calibri"/>
        </w:rPr>
      </w:pPr>
      <w:r>
        <w:rPr>
          <w:rFonts w:eastAsia="Calibri"/>
        </w:rPr>
        <w:t>Annual report to regional cancer network and regional lung cancer work group.</w:t>
      </w:r>
    </w:p>
    <w:p w:rsidR="00E523A8" w:rsidRDefault="00E523A8" w:rsidP="00B23817"/>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C2ADB" w:rsidTr="003A0A33">
        <w:trPr>
          <w:cantSplit/>
        </w:trPr>
        <w:tc>
          <w:tcPr>
            <w:tcW w:w="1843" w:type="dxa"/>
            <w:shd w:val="clear" w:color="auto" w:fill="auto"/>
          </w:tcPr>
          <w:p w:rsidR="00BC2ADB" w:rsidRPr="00640EE6" w:rsidRDefault="00BC2ADB" w:rsidP="00BC2ADB">
            <w:pPr>
              <w:pStyle w:val="Heading2"/>
              <w:spacing w:before="120"/>
              <w:rPr>
                <w:sz w:val="24"/>
                <w:szCs w:val="24"/>
              </w:rPr>
            </w:pPr>
            <w:bookmarkStart w:id="25" w:name="_Toc448737402"/>
            <w:r w:rsidRPr="00640EE6">
              <w:rPr>
                <w:sz w:val="24"/>
                <w:szCs w:val="24"/>
              </w:rPr>
              <w:lastRenderedPageBreak/>
              <w:t>Standard 1.</w:t>
            </w:r>
            <w:r>
              <w:rPr>
                <w:sz w:val="24"/>
                <w:szCs w:val="24"/>
              </w:rPr>
              <w:t>2</w:t>
            </w:r>
            <w:bookmarkEnd w:id="25"/>
          </w:p>
        </w:tc>
        <w:tc>
          <w:tcPr>
            <w:tcW w:w="6095" w:type="dxa"/>
            <w:shd w:val="clear" w:color="auto" w:fill="auto"/>
          </w:tcPr>
          <w:p w:rsidR="00BC2ADB" w:rsidRPr="006E7C35" w:rsidRDefault="00BC2ADB" w:rsidP="00BC2ADB">
            <w:pPr>
              <w:pStyle w:val="TableText"/>
              <w:keepNext/>
            </w:pPr>
            <w:r>
              <w:t>Every organisation providing health services should have a written policy for managing abnormal results related to t</w:t>
            </w:r>
            <w:r w:rsidRPr="000227A2">
              <w:t>horacic imaging reports with a high suspicion of lung cancer</w:t>
            </w:r>
            <w:r>
              <w:t>.</w:t>
            </w:r>
          </w:p>
        </w:tc>
      </w:tr>
    </w:tbl>
    <w:p w:rsidR="00BC2ADB" w:rsidRPr="007F36E4" w:rsidRDefault="00BC2ADB" w:rsidP="00BC2ADB">
      <w:pPr>
        <w:pStyle w:val="Heading3"/>
        <w:rPr>
          <w:rFonts w:eastAsia="Calibri"/>
          <w:lang w:eastAsia="en-NZ"/>
        </w:rPr>
      </w:pPr>
      <w:r>
        <w:rPr>
          <w:rFonts w:eastAsia="Calibri"/>
          <w:lang w:eastAsia="en-NZ"/>
        </w:rPr>
        <w:t>Rationale</w:t>
      </w:r>
    </w:p>
    <w:p w:rsidR="00BC2ADB" w:rsidRPr="00573636" w:rsidRDefault="00BC2ADB" w:rsidP="00BC2ADB">
      <w:r>
        <w:t>Early detection and treatment of lung cancer leads to the highest cure rates. A significant proportion of lung cancer is detected incidentally, during work-up for other conditions. These are not often acted on in a timely fashion, as the treating clinical team may be focused on the primary pathology being investigated and not the potential lung cancer.</w:t>
      </w:r>
    </w:p>
    <w:p w:rsidR="00BC2ADB" w:rsidRPr="009337F8" w:rsidRDefault="00BC2ADB" w:rsidP="00BC2ADB">
      <w:pPr>
        <w:pStyle w:val="Heading3"/>
        <w:rPr>
          <w:rFonts w:eastAsia="Calibri"/>
          <w:lang w:eastAsia="en-NZ"/>
        </w:rPr>
      </w:pPr>
      <w:r>
        <w:rPr>
          <w:rFonts w:eastAsia="Calibri"/>
          <w:lang w:eastAsia="en-NZ"/>
        </w:rPr>
        <w:t>How do we measure the standard</w:t>
      </w:r>
    </w:p>
    <w:p w:rsidR="00BC2ADB" w:rsidRPr="007F36E4" w:rsidRDefault="00BC2ADB" w:rsidP="00BC2ADB">
      <w:pPr>
        <w:rPr>
          <w:rFonts w:eastAsia="Calibri"/>
          <w:lang w:eastAsia="en-NZ"/>
        </w:rPr>
      </w:pPr>
      <w:proofErr w:type="gramStart"/>
      <w:r>
        <w:rPr>
          <w:rFonts w:eastAsia="Calibri"/>
          <w:lang w:eastAsia="en-NZ"/>
        </w:rPr>
        <w:t>Evidence of written policy in place.</w:t>
      </w:r>
      <w:proofErr w:type="gramEnd"/>
    </w:p>
    <w:p w:rsidR="00BC2ADB" w:rsidRPr="007F36E4" w:rsidRDefault="00BC2ADB" w:rsidP="00BC2ADB">
      <w:pPr>
        <w:pStyle w:val="Heading3"/>
        <w:rPr>
          <w:rFonts w:eastAsia="Calibri"/>
        </w:rPr>
      </w:pPr>
      <w:r>
        <w:rPr>
          <w:rFonts w:eastAsia="Calibri"/>
          <w:lang w:eastAsia="en-NZ"/>
        </w:rPr>
        <w:t>Target</w:t>
      </w:r>
    </w:p>
    <w:p w:rsidR="00BC2ADB" w:rsidRPr="007F36E4" w:rsidRDefault="00BC2ADB" w:rsidP="00BC2ADB">
      <w:pPr>
        <w:rPr>
          <w:rFonts w:eastAsia="Calibri"/>
        </w:rPr>
      </w:pPr>
      <w:r>
        <w:rPr>
          <w:rFonts w:eastAsia="Calibri"/>
        </w:rPr>
        <w:t>100 percent of organisations meet the standard.</w:t>
      </w:r>
    </w:p>
    <w:p w:rsidR="00BC2ADB" w:rsidRPr="007F36E4" w:rsidRDefault="00BC2ADB" w:rsidP="00BC2ADB">
      <w:pPr>
        <w:pStyle w:val="Heading3"/>
        <w:rPr>
          <w:rFonts w:eastAsia="Calibri"/>
        </w:rPr>
      </w:pPr>
      <w:r w:rsidRPr="007F36E4">
        <w:rPr>
          <w:rFonts w:eastAsia="Calibri"/>
        </w:rPr>
        <w:t>Monitoring requirement</w:t>
      </w:r>
    </w:p>
    <w:p w:rsidR="00BC2ADB" w:rsidRPr="007F36E4" w:rsidRDefault="00BC2ADB" w:rsidP="00BC2ADB">
      <w:pPr>
        <w:rPr>
          <w:rFonts w:eastAsia="Calibri"/>
        </w:rPr>
      </w:pPr>
      <w:r>
        <w:rPr>
          <w:rFonts w:eastAsia="Calibri"/>
        </w:rPr>
        <w:t>Annual report to regional cancer network and regional lung cancer work group.</w:t>
      </w:r>
    </w:p>
    <w:p w:rsidR="006068EF" w:rsidRDefault="006068EF" w:rsidP="00BC2ADB"/>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C2ADB" w:rsidTr="003A0A33">
        <w:trPr>
          <w:cantSplit/>
        </w:trPr>
        <w:tc>
          <w:tcPr>
            <w:tcW w:w="1843" w:type="dxa"/>
            <w:shd w:val="clear" w:color="auto" w:fill="auto"/>
          </w:tcPr>
          <w:p w:rsidR="00BC2ADB" w:rsidRPr="00640EE6" w:rsidRDefault="00BC2ADB" w:rsidP="00BC2ADB">
            <w:pPr>
              <w:pStyle w:val="Heading2"/>
              <w:spacing w:before="120"/>
              <w:rPr>
                <w:sz w:val="24"/>
                <w:szCs w:val="24"/>
              </w:rPr>
            </w:pPr>
            <w:bookmarkStart w:id="26" w:name="_Toc448737403"/>
            <w:r w:rsidRPr="00640EE6">
              <w:rPr>
                <w:sz w:val="24"/>
                <w:szCs w:val="24"/>
              </w:rPr>
              <w:lastRenderedPageBreak/>
              <w:t>Standard 1.</w:t>
            </w:r>
            <w:r>
              <w:rPr>
                <w:sz w:val="24"/>
                <w:szCs w:val="24"/>
              </w:rPr>
              <w:t>3</w:t>
            </w:r>
            <w:bookmarkEnd w:id="26"/>
          </w:p>
        </w:tc>
        <w:tc>
          <w:tcPr>
            <w:tcW w:w="6095" w:type="dxa"/>
            <w:shd w:val="clear" w:color="auto" w:fill="auto"/>
          </w:tcPr>
          <w:p w:rsidR="00BC2ADB" w:rsidRDefault="00BC2ADB" w:rsidP="00BC2ADB">
            <w:pPr>
              <w:pStyle w:val="TableText"/>
            </w:pPr>
            <w:r>
              <w:t>95 percent</w:t>
            </w:r>
            <w:r w:rsidRPr="00202126">
              <w:t xml:space="preserve"> of hospital patients who smoke and are seen by a health practitioner in a public hospital are offered brief advice and support to quit smoking.</w:t>
            </w:r>
          </w:p>
          <w:p w:rsidR="00BC2ADB" w:rsidRPr="006E7C35" w:rsidRDefault="00BC2ADB" w:rsidP="00BC2ADB">
            <w:pPr>
              <w:pStyle w:val="TableText"/>
              <w:keepNext/>
            </w:pPr>
            <w:r w:rsidRPr="00EC5851">
              <w:t>90</w:t>
            </w:r>
            <w:r>
              <w:t xml:space="preserve"> percent</w:t>
            </w:r>
            <w:r w:rsidRPr="00EC5851">
              <w:t xml:space="preserve"> of PHO enrolled patients who smoke have been offered help to quit smoking by a health care practitioner in the last 15 months.</w:t>
            </w:r>
          </w:p>
        </w:tc>
      </w:tr>
    </w:tbl>
    <w:p w:rsidR="00BC2ADB" w:rsidRPr="007F36E4" w:rsidRDefault="00BC2ADB" w:rsidP="00BC2ADB">
      <w:pPr>
        <w:pStyle w:val="Heading3"/>
        <w:rPr>
          <w:rFonts w:eastAsia="Calibri"/>
          <w:lang w:eastAsia="en-NZ"/>
        </w:rPr>
      </w:pPr>
      <w:r>
        <w:rPr>
          <w:rFonts w:eastAsia="Calibri"/>
          <w:lang w:eastAsia="en-NZ"/>
        </w:rPr>
        <w:t>Rationale</w:t>
      </w:r>
    </w:p>
    <w:p w:rsidR="00BC2ADB" w:rsidRDefault="00BC2ADB" w:rsidP="00FC2344">
      <w:pPr>
        <w:keepNext/>
      </w:pPr>
      <w:r w:rsidRPr="00375AC8">
        <w:t xml:space="preserve">There is evidence </w:t>
      </w:r>
      <w:r>
        <w:t>for</w:t>
      </w:r>
      <w:r w:rsidRPr="00375AC8">
        <w:t xml:space="preserve"> improved outcomes </w:t>
      </w:r>
      <w:r>
        <w:t>in</w:t>
      </w:r>
      <w:r w:rsidRPr="00375AC8">
        <w:t xml:space="preserve"> patient</w:t>
      </w:r>
      <w:r>
        <w:t>s</w:t>
      </w:r>
      <w:r w:rsidRPr="00375AC8">
        <w:t xml:space="preserve"> with lung cancer who stop smoking. This is self</w:t>
      </w:r>
      <w:r>
        <w:t>-</w:t>
      </w:r>
      <w:r w:rsidRPr="00375AC8">
        <w:t>evident for those patients who are treated with curative intent. Patients with advanced disease, who are being treated with palliative intent,</w:t>
      </w:r>
      <w:r>
        <w:t xml:space="preserve"> and</w:t>
      </w:r>
      <w:r w:rsidRPr="00375AC8">
        <w:t xml:space="preserve"> particularly </w:t>
      </w:r>
      <w:r>
        <w:t xml:space="preserve">those being treated with </w:t>
      </w:r>
      <w:r w:rsidRPr="00375AC8">
        <w:t>tyrosine kinase inhibitors</w:t>
      </w:r>
      <w:r>
        <w:t>,</w:t>
      </w:r>
      <w:r w:rsidRPr="00375AC8">
        <w:t xml:space="preserve"> also have improved outcomes if they stop smoking. </w:t>
      </w:r>
      <w:r>
        <w:t>However, at a population level, t</w:t>
      </w:r>
      <w:r w:rsidRPr="00375AC8">
        <w:t xml:space="preserve">he greatest gains </w:t>
      </w:r>
      <w:r>
        <w:t xml:space="preserve">to be made are </w:t>
      </w:r>
      <w:r w:rsidRPr="00375AC8">
        <w:t xml:space="preserve">from smoking cessation </w:t>
      </w:r>
      <w:r>
        <w:t xml:space="preserve">in </w:t>
      </w:r>
      <w:r w:rsidRPr="00375AC8">
        <w:t>family/</w:t>
      </w:r>
      <w:r w:rsidRPr="00F9382E">
        <w:rPr>
          <w:lang w:val="mi-NZ"/>
        </w:rPr>
        <w:t>whānau</w:t>
      </w:r>
      <w:r w:rsidRPr="00375AC8">
        <w:t xml:space="preserve"> who </w:t>
      </w:r>
      <w:proofErr w:type="gramStart"/>
      <w:r w:rsidRPr="00375AC8">
        <w:t>are</w:t>
      </w:r>
      <w:proofErr w:type="gramEnd"/>
      <w:r w:rsidRPr="00375AC8">
        <w:t xml:space="preserve"> current smokers</w:t>
      </w:r>
      <w:r>
        <w:t xml:space="preserve"> as yet unaffected by lung cancer</w:t>
      </w:r>
      <w:r w:rsidRPr="00375AC8">
        <w:t>.</w:t>
      </w:r>
    </w:p>
    <w:p w:rsidR="00BC2ADB" w:rsidRPr="00E523A8" w:rsidRDefault="00BC2ADB" w:rsidP="00BC2ADB">
      <w:pPr>
        <w:keepLines/>
      </w:pPr>
      <w:r>
        <w:t>Health practitioners need to approach the topic of s</w:t>
      </w:r>
      <w:r w:rsidRPr="00375AC8">
        <w:t xml:space="preserve">moking cessation with sensitivity. It is important </w:t>
      </w:r>
      <w:r>
        <w:t xml:space="preserve">that </w:t>
      </w:r>
      <w:r w:rsidRPr="00375AC8">
        <w:t>patients and family/</w:t>
      </w:r>
      <w:r w:rsidRPr="00F9382E">
        <w:rPr>
          <w:lang w:val="mi-NZ"/>
        </w:rPr>
        <w:t>whānau</w:t>
      </w:r>
      <w:r w:rsidRPr="00375AC8">
        <w:t xml:space="preserve"> do not experience a sense </w:t>
      </w:r>
      <w:r>
        <w:t xml:space="preserve">of </w:t>
      </w:r>
      <w:r w:rsidRPr="00375AC8">
        <w:t>blame.</w:t>
      </w:r>
      <w:r>
        <w:t xml:space="preserve"> </w:t>
      </w:r>
      <w:r w:rsidRPr="00375AC8">
        <w:t xml:space="preserve">This standard is the </w:t>
      </w:r>
      <w:r>
        <w:t>g</w:t>
      </w:r>
      <w:r w:rsidRPr="00375AC8">
        <w:t xml:space="preserve">overnment health target </w:t>
      </w:r>
      <w:r>
        <w:t>‘</w:t>
      </w:r>
      <w:r w:rsidRPr="00375AC8">
        <w:t>Better help for smokers to quit</w:t>
      </w:r>
      <w:r>
        <w:t>’</w:t>
      </w:r>
      <w:r w:rsidRPr="00375AC8">
        <w:t>.</w:t>
      </w:r>
    </w:p>
    <w:p w:rsidR="00BC2ADB" w:rsidRPr="009337F8" w:rsidRDefault="00BC2ADB" w:rsidP="00BC2ADB">
      <w:pPr>
        <w:pStyle w:val="Heading3"/>
        <w:rPr>
          <w:rFonts w:eastAsia="Calibri"/>
          <w:lang w:eastAsia="en-NZ"/>
        </w:rPr>
      </w:pPr>
      <w:r>
        <w:rPr>
          <w:rFonts w:eastAsia="Calibri"/>
          <w:lang w:eastAsia="en-NZ"/>
        </w:rPr>
        <w:t>How do we measure the standard</w:t>
      </w:r>
    </w:p>
    <w:p w:rsidR="00BC2ADB" w:rsidRPr="007F36E4" w:rsidRDefault="00BC2ADB" w:rsidP="00BC2ADB">
      <w:pPr>
        <w:rPr>
          <w:rFonts w:eastAsia="Calibri"/>
          <w:lang w:eastAsia="en-NZ"/>
        </w:rPr>
      </w:pPr>
      <w:proofErr w:type="gramStart"/>
      <w:r w:rsidRPr="00AD1D87">
        <w:rPr>
          <w:rFonts w:eastAsia="Calibri"/>
          <w:lang w:eastAsia="en-NZ"/>
        </w:rPr>
        <w:t>Routine health target reporting</w:t>
      </w:r>
      <w:r>
        <w:rPr>
          <w:rFonts w:eastAsia="Calibri"/>
          <w:b/>
          <w:lang w:eastAsia="en-NZ"/>
        </w:rPr>
        <w:t>.</w:t>
      </w:r>
      <w:proofErr w:type="gramEnd"/>
    </w:p>
    <w:p w:rsidR="00BC2ADB" w:rsidRPr="007F36E4" w:rsidRDefault="00BC2ADB" w:rsidP="00BC2ADB">
      <w:pPr>
        <w:pStyle w:val="Heading3"/>
        <w:rPr>
          <w:rFonts w:eastAsia="Calibri"/>
        </w:rPr>
      </w:pPr>
      <w:r>
        <w:rPr>
          <w:rFonts w:eastAsia="Calibri"/>
          <w:lang w:eastAsia="en-NZ"/>
        </w:rPr>
        <w:t>Target</w:t>
      </w:r>
    </w:p>
    <w:p w:rsidR="00BC2ADB" w:rsidRPr="007F36E4" w:rsidRDefault="00BC2ADB" w:rsidP="00BC2ADB">
      <w:pPr>
        <w:rPr>
          <w:rFonts w:eastAsia="Calibri"/>
        </w:rPr>
      </w:pPr>
      <w:r>
        <w:rPr>
          <w:rFonts w:eastAsia="Calibri"/>
        </w:rPr>
        <w:t>Rates stated in the standard are achieved.</w:t>
      </w:r>
    </w:p>
    <w:p w:rsidR="00BC2ADB" w:rsidRPr="007F36E4" w:rsidRDefault="00BC2ADB" w:rsidP="00BC2ADB">
      <w:pPr>
        <w:pStyle w:val="Heading3"/>
        <w:rPr>
          <w:rFonts w:eastAsia="Calibri"/>
        </w:rPr>
      </w:pPr>
      <w:r w:rsidRPr="007F36E4">
        <w:rPr>
          <w:rFonts w:eastAsia="Calibri"/>
        </w:rPr>
        <w:t>Monitoring requirement</w:t>
      </w:r>
    </w:p>
    <w:p w:rsidR="00E1674E" w:rsidRPr="007F36E4" w:rsidRDefault="00E1674E" w:rsidP="00E1674E">
      <w:pPr>
        <w:rPr>
          <w:rFonts w:eastAsia="Calibri"/>
          <w:lang w:eastAsia="en-NZ"/>
        </w:rPr>
      </w:pPr>
      <w:bookmarkStart w:id="27" w:name="_Toc399763957"/>
      <w:bookmarkStart w:id="28" w:name="_Toc448737404"/>
      <w:proofErr w:type="gramStart"/>
      <w:r w:rsidRPr="00AD1D87">
        <w:rPr>
          <w:rFonts w:eastAsia="Calibri"/>
          <w:lang w:eastAsia="en-NZ"/>
        </w:rPr>
        <w:t>Routine health target reporting</w:t>
      </w:r>
      <w:r>
        <w:rPr>
          <w:rFonts w:eastAsia="Calibri"/>
          <w:b/>
          <w:lang w:eastAsia="en-NZ"/>
        </w:rPr>
        <w:t>.</w:t>
      </w:r>
      <w:proofErr w:type="gramEnd"/>
    </w:p>
    <w:p w:rsidR="00F9382E" w:rsidRPr="003E290F" w:rsidRDefault="00F9382E" w:rsidP="00BC2ADB">
      <w:pPr>
        <w:pStyle w:val="Heading2"/>
      </w:pPr>
      <w:r w:rsidRPr="003E290F">
        <w:lastRenderedPageBreak/>
        <w:t>Good practice point</w:t>
      </w:r>
      <w:bookmarkEnd w:id="27"/>
      <w:r w:rsidR="00740A25">
        <w:t>s</w:t>
      </w:r>
      <w:bookmarkEnd w:id="28"/>
    </w:p>
    <w:p w:rsidR="003C0562" w:rsidRPr="003C0562" w:rsidRDefault="00BC2ADB" w:rsidP="00FC2344">
      <w:pPr>
        <w:keepNext/>
        <w:ind w:left="851" w:hanging="851"/>
      </w:pPr>
      <w:r>
        <w:t>1.1.1</w:t>
      </w:r>
      <w:r>
        <w:tab/>
      </w:r>
      <w:r w:rsidR="003C0562" w:rsidRPr="003C0562">
        <w:t xml:space="preserve">Referral to quit smoking treatment services </w:t>
      </w:r>
      <w:r w:rsidR="00730CC6">
        <w:t>are</w:t>
      </w:r>
      <w:r w:rsidR="00730CC6" w:rsidRPr="003C0562">
        <w:t xml:space="preserve"> </w:t>
      </w:r>
      <w:r w:rsidR="003C0562" w:rsidRPr="003C0562">
        <w:t xml:space="preserve">a key component of the </w:t>
      </w:r>
      <w:r w:rsidR="002D0608">
        <w:t>‘</w:t>
      </w:r>
      <w:r w:rsidR="003C0562" w:rsidRPr="003C0562">
        <w:t>ABC</w:t>
      </w:r>
      <w:r w:rsidR="002D0608">
        <w:t>’</w:t>
      </w:r>
      <w:r w:rsidR="003C0562" w:rsidRPr="003C0562">
        <w:t xml:space="preserve"> approach</w:t>
      </w:r>
      <w:r w:rsidR="00D85EA3" w:rsidRPr="00D85EA3">
        <w:t xml:space="preserve"> </w:t>
      </w:r>
      <w:r w:rsidR="00D85EA3">
        <w:t>(</w:t>
      </w:r>
      <w:r w:rsidR="00D85EA3" w:rsidRPr="00D85EA3">
        <w:rPr>
          <w:b/>
        </w:rPr>
        <w:t>A</w:t>
      </w:r>
      <w:r w:rsidR="00D85EA3" w:rsidRPr="00D85EA3">
        <w:t>sk about and document every person</w:t>
      </w:r>
      <w:r w:rsidR="002D0608">
        <w:t>’</w:t>
      </w:r>
      <w:r w:rsidR="00D85EA3" w:rsidRPr="00D85EA3">
        <w:t>s smoking status</w:t>
      </w:r>
      <w:r w:rsidR="00D85EA3">
        <w:t xml:space="preserve">; give </w:t>
      </w:r>
      <w:r w:rsidR="00D85EA3" w:rsidRPr="00D85EA3">
        <w:rPr>
          <w:b/>
        </w:rPr>
        <w:t>B</w:t>
      </w:r>
      <w:r w:rsidR="00D85EA3" w:rsidRPr="00D85EA3">
        <w:t>rief advice to stop</w:t>
      </w:r>
      <w:r w:rsidR="00D85EA3">
        <w:t xml:space="preserve">; strongly </w:t>
      </w:r>
      <w:r w:rsidR="00D85EA3" w:rsidRPr="00D85EA3">
        <w:t xml:space="preserve">encourage </w:t>
      </w:r>
      <w:r w:rsidR="00D85EA3">
        <w:t xml:space="preserve">people </w:t>
      </w:r>
      <w:r w:rsidR="00D85EA3" w:rsidRPr="00D85EA3">
        <w:t xml:space="preserve">to use </w:t>
      </w:r>
      <w:r w:rsidR="00D85EA3" w:rsidRPr="00D85EA3">
        <w:rPr>
          <w:b/>
        </w:rPr>
        <w:t>C</w:t>
      </w:r>
      <w:r w:rsidR="00D85EA3" w:rsidRPr="00D85EA3">
        <w:t>essation support</w:t>
      </w:r>
      <w:r w:rsidR="00D85EA3">
        <w:t>)</w:t>
      </w:r>
      <w:r w:rsidR="003C0562" w:rsidRPr="003C0562">
        <w:t xml:space="preserve">. More information on quitting smoking can be found at </w:t>
      </w:r>
      <w:r w:rsidR="003C0562" w:rsidRPr="00FC2344">
        <w:rPr>
          <w:rStyle w:val="Hyperlink"/>
        </w:rPr>
        <w:t>www.moh.govt.nz/tobacco</w:t>
      </w:r>
      <w:r w:rsidR="007279AC">
        <w:t>.</w:t>
      </w:r>
    </w:p>
    <w:p w:rsidR="00141991" w:rsidRPr="004C4091" w:rsidRDefault="00BC2ADB" w:rsidP="00FC2344">
      <w:pPr>
        <w:keepNext/>
        <w:ind w:left="851" w:hanging="851"/>
      </w:pPr>
      <w:r>
        <w:t>1.1.2</w:t>
      </w:r>
      <w:r>
        <w:tab/>
      </w:r>
      <w:r w:rsidR="00D85EA3">
        <w:t>Health providers should i</w:t>
      </w:r>
      <w:r w:rsidR="00141991" w:rsidRPr="004C4091">
        <w:t xml:space="preserve">mprove </w:t>
      </w:r>
      <w:r w:rsidR="00D85EA3">
        <w:t>people</w:t>
      </w:r>
      <w:r w:rsidR="002D0608">
        <w:t>’</w:t>
      </w:r>
      <w:r w:rsidR="00D85EA3">
        <w:t xml:space="preserve">s </w:t>
      </w:r>
      <w:r w:rsidR="00141991" w:rsidRPr="004C4091">
        <w:t xml:space="preserve">health literacy by increasing public awareness of </w:t>
      </w:r>
      <w:r w:rsidR="00D85EA3">
        <w:t xml:space="preserve">the signs and symptoms of </w:t>
      </w:r>
      <w:r w:rsidR="00141991" w:rsidRPr="004C4091">
        <w:t>lung cancer.</w:t>
      </w:r>
    </w:p>
    <w:p w:rsidR="00494B81" w:rsidRDefault="00BC2ADB" w:rsidP="00BC2ADB">
      <w:pPr>
        <w:ind w:left="851" w:hanging="851"/>
      </w:pPr>
      <w:r>
        <w:t>1.1.3</w:t>
      </w:r>
      <w:r>
        <w:tab/>
      </w:r>
      <w:r w:rsidR="00062D28" w:rsidRPr="004C4091">
        <w:t>P</w:t>
      </w:r>
      <w:r w:rsidR="00CA33C5" w:rsidRPr="004C4091">
        <w:t xml:space="preserve">rimary care providers </w:t>
      </w:r>
      <w:r w:rsidR="00D85EA3">
        <w:t>should be</w:t>
      </w:r>
      <w:r w:rsidR="00D85EA3" w:rsidRPr="004C4091">
        <w:t xml:space="preserve"> </w:t>
      </w:r>
      <w:r w:rsidR="00062D28" w:rsidRPr="004C4091">
        <w:t xml:space="preserve">upskilled </w:t>
      </w:r>
      <w:r w:rsidR="00CA33C5" w:rsidRPr="004C4091">
        <w:t xml:space="preserve">to increase </w:t>
      </w:r>
      <w:r w:rsidR="00D85EA3">
        <w:t xml:space="preserve">their </w:t>
      </w:r>
      <w:r w:rsidR="00CA33C5" w:rsidRPr="004C4091">
        <w:t>awareness of lung cancer, lung cancer symptoms, risk factors and benefits of early detection</w:t>
      </w:r>
      <w:r w:rsidR="00822977">
        <w:t>.</w:t>
      </w:r>
    </w:p>
    <w:p w:rsidR="00A8576A" w:rsidRPr="00DE013E" w:rsidRDefault="00BC2ADB" w:rsidP="00BC2ADB">
      <w:pPr>
        <w:ind w:left="851" w:hanging="851"/>
        <w:rPr>
          <w:szCs w:val="22"/>
        </w:rPr>
      </w:pPr>
      <w:r>
        <w:rPr>
          <w:szCs w:val="22"/>
        </w:rPr>
        <w:t>1.1.4</w:t>
      </w:r>
      <w:r>
        <w:rPr>
          <w:szCs w:val="22"/>
        </w:rPr>
        <w:tab/>
      </w:r>
      <w:proofErr w:type="gramStart"/>
      <w:r w:rsidR="00A8576A" w:rsidRPr="001F2F86">
        <w:rPr>
          <w:szCs w:val="22"/>
        </w:rPr>
        <w:t>In</w:t>
      </w:r>
      <w:proofErr w:type="gramEnd"/>
      <w:r w:rsidR="00A8576A" w:rsidRPr="001F2F86">
        <w:rPr>
          <w:szCs w:val="22"/>
        </w:rPr>
        <w:t xml:space="preserve"> </w:t>
      </w:r>
      <w:r w:rsidR="00D85EA3">
        <w:rPr>
          <w:szCs w:val="22"/>
        </w:rPr>
        <w:t xml:space="preserve">a </w:t>
      </w:r>
      <w:r w:rsidR="009B77AF">
        <w:rPr>
          <w:szCs w:val="22"/>
        </w:rPr>
        <w:t>g</w:t>
      </w:r>
      <w:r w:rsidR="00A8576A" w:rsidRPr="001F2F86">
        <w:rPr>
          <w:szCs w:val="22"/>
        </w:rPr>
        <w:t xml:space="preserve">eneral </w:t>
      </w:r>
      <w:r w:rsidR="009B77AF">
        <w:rPr>
          <w:szCs w:val="22"/>
        </w:rPr>
        <w:t>p</w:t>
      </w:r>
      <w:r w:rsidR="00A8576A" w:rsidRPr="001F2F86">
        <w:rPr>
          <w:szCs w:val="22"/>
        </w:rPr>
        <w:t xml:space="preserve">ractice or </w:t>
      </w:r>
      <w:r w:rsidR="00D85EA3">
        <w:rPr>
          <w:szCs w:val="22"/>
        </w:rPr>
        <w:t xml:space="preserve">an </w:t>
      </w:r>
      <w:r w:rsidR="00A8576A" w:rsidRPr="001F2F86">
        <w:rPr>
          <w:szCs w:val="22"/>
        </w:rPr>
        <w:t>equivalent organisation</w:t>
      </w:r>
      <w:r w:rsidR="000C2A57">
        <w:rPr>
          <w:szCs w:val="22"/>
        </w:rPr>
        <w:t>:</w:t>
      </w:r>
    </w:p>
    <w:p w:rsidR="00A8576A" w:rsidRPr="000C2A57" w:rsidRDefault="00D85EA3" w:rsidP="00BC2ADB">
      <w:pPr>
        <w:pStyle w:val="Bullet"/>
        <w:ind w:left="1135"/>
      </w:pPr>
      <w:proofErr w:type="gramStart"/>
      <w:r>
        <w:t>practitioners</w:t>
      </w:r>
      <w:proofErr w:type="gramEnd"/>
      <w:r>
        <w:t xml:space="preserve"> should refer </w:t>
      </w:r>
      <w:r w:rsidR="00D24185">
        <w:t>p</w:t>
      </w:r>
      <w:r w:rsidR="00A8576A" w:rsidRPr="000C2A57">
        <w:t>atients</w:t>
      </w:r>
      <w:r w:rsidR="008505E8">
        <w:t xml:space="preserve"> with red</w:t>
      </w:r>
      <w:r>
        <w:t>-</w:t>
      </w:r>
      <w:r w:rsidR="008505E8">
        <w:t>flag symptoms</w:t>
      </w:r>
      <w:r w:rsidR="00A8576A" w:rsidRPr="00DE013E">
        <w:t xml:space="preserve"> of lung cancer </w:t>
      </w:r>
      <w:r w:rsidR="00A8576A" w:rsidRPr="001F2F86">
        <w:t xml:space="preserve">to </w:t>
      </w:r>
      <w:r w:rsidR="001F2F86">
        <w:t xml:space="preserve">a </w:t>
      </w:r>
      <w:r w:rsidR="00A8576A" w:rsidRPr="001F2F86">
        <w:t xml:space="preserve">respiratory </w:t>
      </w:r>
      <w:r w:rsidR="001F2F86">
        <w:t xml:space="preserve">physician </w:t>
      </w:r>
      <w:r w:rsidR="00A8576A" w:rsidRPr="000C2A57">
        <w:t>(or equivalent)</w:t>
      </w:r>
      <w:r>
        <w:t>,</w:t>
      </w:r>
      <w:r w:rsidR="00A8576A" w:rsidRPr="000C2A57">
        <w:t xml:space="preserve"> even </w:t>
      </w:r>
      <w:r w:rsidR="00A8576A" w:rsidRPr="00372BE9">
        <w:t xml:space="preserve">if </w:t>
      </w:r>
      <w:r>
        <w:t xml:space="preserve">they are </w:t>
      </w:r>
      <w:r w:rsidR="00A40AB5">
        <w:t>in a low risk group.</w:t>
      </w:r>
      <w:r w:rsidR="001F2F86" w:rsidRPr="00372BE9">
        <w:t xml:space="preserve"> In addition</w:t>
      </w:r>
      <w:r>
        <w:t>, they should request</w:t>
      </w:r>
      <w:r w:rsidR="001F2F86" w:rsidRPr="00372BE9">
        <w:t xml:space="preserve"> a </w:t>
      </w:r>
      <w:r w:rsidR="00A8576A" w:rsidRPr="00372BE9">
        <w:t xml:space="preserve">chest </w:t>
      </w:r>
      <w:r w:rsidR="00C108E3">
        <w:t>X</w:t>
      </w:r>
      <w:r w:rsidR="004E699A">
        <w:t>-ray</w:t>
      </w:r>
    </w:p>
    <w:p w:rsidR="002D0608" w:rsidRDefault="00D24185" w:rsidP="00BC2ADB">
      <w:pPr>
        <w:pStyle w:val="Bullet"/>
        <w:ind w:left="1135"/>
      </w:pPr>
      <w:proofErr w:type="gramStart"/>
      <w:r>
        <w:t>i</w:t>
      </w:r>
      <w:r w:rsidR="00A8576A" w:rsidRPr="000C2A57">
        <w:t>f</w:t>
      </w:r>
      <w:proofErr w:type="gramEnd"/>
      <w:r w:rsidR="00A8576A" w:rsidRPr="000C2A57">
        <w:t xml:space="preserve"> the chest </w:t>
      </w:r>
      <w:r w:rsidR="00C108E3">
        <w:t>X</w:t>
      </w:r>
      <w:r w:rsidR="00A8576A" w:rsidRPr="000C2A57">
        <w:t>-ray is reported as normal and the patient is not referred</w:t>
      </w:r>
      <w:r w:rsidR="001F2F86" w:rsidRPr="000C2A57">
        <w:t xml:space="preserve">, </w:t>
      </w:r>
      <w:r w:rsidR="00D85EA3">
        <w:t xml:space="preserve">practitioners should give </w:t>
      </w:r>
      <w:r w:rsidR="001F2F86" w:rsidRPr="000C2A57">
        <w:t>the patient</w:t>
      </w:r>
      <w:r w:rsidR="00A8576A" w:rsidRPr="000C2A57">
        <w:t xml:space="preserve"> a documented management plan of what to do if the symptoms persist or worsen</w:t>
      </w:r>
      <w:r w:rsidR="00D85EA3">
        <w:t>,</w:t>
      </w:r>
      <w:r w:rsidR="00A8576A" w:rsidRPr="000C2A57">
        <w:t xml:space="preserve"> and/or a</w:t>
      </w:r>
      <w:r w:rsidR="00A8576A" w:rsidRPr="00372BE9">
        <w:t xml:space="preserve"> follow</w:t>
      </w:r>
      <w:r w:rsidR="00730CC6">
        <w:t>-</w:t>
      </w:r>
      <w:r w:rsidR="00A8576A" w:rsidRPr="00372BE9">
        <w:t>up review date.</w:t>
      </w:r>
    </w:p>
    <w:p w:rsidR="00BC2ADB" w:rsidRDefault="00BC2ADB" w:rsidP="00BC2ADB">
      <w:bookmarkStart w:id="29" w:name="_Toc290903014"/>
      <w:bookmarkStart w:id="30" w:name="_Toc399763959"/>
      <w:r>
        <w:br w:type="page"/>
      </w:r>
    </w:p>
    <w:p w:rsidR="009E3121" w:rsidRDefault="00A11FC0" w:rsidP="00BC2ADB">
      <w:pPr>
        <w:pStyle w:val="Heading1"/>
      </w:pPr>
      <w:bookmarkStart w:id="31" w:name="_Toc448737405"/>
      <w:r>
        <w:lastRenderedPageBreak/>
        <w:t>2</w:t>
      </w:r>
      <w:r w:rsidR="00E64E91">
        <w:tab/>
      </w:r>
      <w:r w:rsidR="00E64E91" w:rsidRPr="0046251C">
        <w:t>Timely access to services</w:t>
      </w:r>
      <w:bookmarkStart w:id="32" w:name="_Toc297732843"/>
      <w:bookmarkEnd w:id="29"/>
      <w:bookmarkEnd w:id="30"/>
      <w:bookmarkEnd w:id="31"/>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C2ADB" w:rsidTr="003A0A33">
        <w:trPr>
          <w:cantSplit/>
        </w:trPr>
        <w:tc>
          <w:tcPr>
            <w:tcW w:w="1843" w:type="dxa"/>
            <w:shd w:val="clear" w:color="auto" w:fill="auto"/>
          </w:tcPr>
          <w:p w:rsidR="00BC2ADB" w:rsidRPr="00640EE6" w:rsidRDefault="00BC2ADB" w:rsidP="00BC2ADB">
            <w:pPr>
              <w:pStyle w:val="Heading2"/>
              <w:keepNext w:val="0"/>
              <w:spacing w:before="120"/>
              <w:rPr>
                <w:sz w:val="24"/>
                <w:szCs w:val="24"/>
              </w:rPr>
            </w:pPr>
            <w:bookmarkStart w:id="33" w:name="_Toc448737406"/>
            <w:r w:rsidRPr="00640EE6">
              <w:rPr>
                <w:sz w:val="24"/>
                <w:szCs w:val="24"/>
              </w:rPr>
              <w:t xml:space="preserve">Standard </w:t>
            </w:r>
            <w:r>
              <w:rPr>
                <w:sz w:val="24"/>
                <w:szCs w:val="24"/>
              </w:rPr>
              <w:t>2</w:t>
            </w:r>
            <w:r w:rsidRPr="00640EE6">
              <w:rPr>
                <w:sz w:val="24"/>
                <w:szCs w:val="24"/>
              </w:rPr>
              <w:t>.</w:t>
            </w:r>
            <w:r>
              <w:rPr>
                <w:sz w:val="24"/>
                <w:szCs w:val="24"/>
              </w:rPr>
              <w:t>1</w:t>
            </w:r>
            <w:bookmarkEnd w:id="33"/>
          </w:p>
        </w:tc>
        <w:tc>
          <w:tcPr>
            <w:tcW w:w="6095" w:type="dxa"/>
            <w:shd w:val="clear" w:color="auto" w:fill="auto"/>
          </w:tcPr>
          <w:p w:rsidR="00BC2ADB" w:rsidRPr="006E7C35" w:rsidRDefault="00BC2ADB" w:rsidP="003A0A33">
            <w:pPr>
              <w:pStyle w:val="TableText"/>
              <w:keepNext/>
            </w:pPr>
            <w:r w:rsidRPr="000759DB">
              <w:t xml:space="preserve">Patients </w:t>
            </w:r>
            <w:r>
              <w:t xml:space="preserve">requiring treatment for lung cancer, irrespective of route of referral, should start treatment </w:t>
            </w:r>
            <w:r w:rsidRPr="00CA26CF">
              <w:t xml:space="preserve">within 62 </w:t>
            </w:r>
            <w:r>
              <w:t>days of secondary care receiving a referral.</w:t>
            </w:r>
          </w:p>
        </w:tc>
      </w:tr>
    </w:tbl>
    <w:p w:rsidR="00BC2ADB" w:rsidRPr="007F36E4" w:rsidRDefault="00BC2ADB" w:rsidP="00BC2ADB">
      <w:pPr>
        <w:pStyle w:val="Heading3"/>
        <w:rPr>
          <w:rFonts w:eastAsia="Calibri"/>
          <w:lang w:eastAsia="en-NZ"/>
        </w:rPr>
      </w:pPr>
      <w:r>
        <w:rPr>
          <w:rFonts w:eastAsia="Calibri"/>
          <w:lang w:eastAsia="en-NZ"/>
        </w:rPr>
        <w:t>Rationale</w:t>
      </w:r>
    </w:p>
    <w:p w:rsidR="00BC2ADB" w:rsidRPr="000759DB" w:rsidRDefault="00BC2ADB" w:rsidP="00BC2ADB">
      <w:r w:rsidRPr="000759DB">
        <w:t xml:space="preserve">Patients referred urgently with suspected cancer should be seen promptly and should complete </w:t>
      </w:r>
      <w:r>
        <w:t xml:space="preserve">their </w:t>
      </w:r>
      <w:r w:rsidRPr="003B5CFF">
        <w:t>diagnostic investigations and start treatment within an acceptable timeframe. This is because delayed</w:t>
      </w:r>
      <w:r w:rsidRPr="000759DB">
        <w:t xml:space="preserve"> treatment can result in disease progression</w:t>
      </w:r>
      <w:r>
        <w:t>,</w:t>
      </w:r>
      <w:r w:rsidRPr="000759DB">
        <w:t xml:space="preserve"> resulting in some potentially curable patients becoming incurable. Palliative patients also require timely treatment</w:t>
      </w:r>
      <w:r>
        <w:t>,</w:t>
      </w:r>
      <w:r w:rsidRPr="000759DB">
        <w:t xml:space="preserve"> as most </w:t>
      </w:r>
      <w:r>
        <w:t xml:space="preserve">of the benefit from </w:t>
      </w:r>
      <w:r w:rsidRPr="000759DB">
        <w:t xml:space="preserve">systemic treatment is achieved in </w:t>
      </w:r>
      <w:r>
        <w:t>patients with good performance status.</w:t>
      </w:r>
    </w:p>
    <w:p w:rsidR="00BC2ADB" w:rsidRPr="000759DB" w:rsidRDefault="00BC2ADB" w:rsidP="00BC2ADB">
      <w:r w:rsidRPr="000759DB">
        <w:t>The degree of benefit varies according to prognostic factors and performance status. The most significant gains in outcomes will be with early</w:t>
      </w:r>
      <w:r>
        <w:t>-</w:t>
      </w:r>
      <w:r w:rsidRPr="000759DB">
        <w:t xml:space="preserve">stage </w:t>
      </w:r>
      <w:r>
        <w:t xml:space="preserve">NSCLC </w:t>
      </w:r>
      <w:r w:rsidRPr="000759DB">
        <w:t>and small</w:t>
      </w:r>
      <w:r>
        <w:t>-</w:t>
      </w:r>
      <w:r w:rsidRPr="000759DB">
        <w:t>cell lung cancer</w:t>
      </w:r>
      <w:r>
        <w:t>;</w:t>
      </w:r>
      <w:r w:rsidRPr="000759DB">
        <w:t xml:space="preserve"> </w:t>
      </w:r>
      <w:r>
        <w:t xml:space="preserve">services should prioritise </w:t>
      </w:r>
      <w:r w:rsidRPr="000759DB">
        <w:t xml:space="preserve">these patients </w:t>
      </w:r>
      <w:r>
        <w:t>for treatment.</w:t>
      </w:r>
    </w:p>
    <w:p w:rsidR="00BC2ADB" w:rsidRDefault="00BC2ADB" w:rsidP="00BC2ADB">
      <w:r w:rsidRPr="000759DB">
        <w:t xml:space="preserve">The </w:t>
      </w:r>
      <w:r>
        <w:t>aim</w:t>
      </w:r>
      <w:r w:rsidRPr="000759DB">
        <w:t xml:space="preserve"> in setting waiting time targets is to encourage a culture of timely work</w:t>
      </w:r>
      <w:r>
        <w:t>-</w:t>
      </w:r>
      <w:r w:rsidRPr="000759DB">
        <w:t xml:space="preserve">up </w:t>
      </w:r>
      <w:r>
        <w:t>in which</w:t>
      </w:r>
      <w:r w:rsidRPr="000759DB">
        <w:t xml:space="preserve"> treatment </w:t>
      </w:r>
      <w:r>
        <w:t xml:space="preserve">is initiated as soon as possible. </w:t>
      </w:r>
      <w:r w:rsidRPr="000759DB">
        <w:t xml:space="preserve">Where waiting times are longer than the time specified in the standard, local or regional services should work to reduce them to </w:t>
      </w:r>
      <w:r>
        <w:t xml:space="preserve">achieve the </w:t>
      </w:r>
      <w:r w:rsidRPr="000759DB">
        <w:t>target. If the service is already meeting the target</w:t>
      </w:r>
      <w:r>
        <w:t>,</w:t>
      </w:r>
      <w:r w:rsidRPr="000759DB">
        <w:t xml:space="preserve"> </w:t>
      </w:r>
      <w:r>
        <w:t xml:space="preserve">it needs to maintain and further improve </w:t>
      </w:r>
      <w:r w:rsidRPr="000759DB">
        <w:t>performance.</w:t>
      </w:r>
    </w:p>
    <w:p w:rsidR="00BC2ADB" w:rsidRPr="00242BB7" w:rsidRDefault="00BC2ADB" w:rsidP="00BC2ADB">
      <w:r>
        <w:t>This standard refers to all patients diagnosed with lung cancer not only the Faster Cancer Treatment Health Target cohort.</w:t>
      </w:r>
    </w:p>
    <w:p w:rsidR="00BC2ADB" w:rsidRPr="00B80046" w:rsidRDefault="00BC2ADB" w:rsidP="00BC2ADB">
      <w:pPr>
        <w:pStyle w:val="Heading3"/>
        <w:rPr>
          <w:rFonts w:eastAsia="Calibri"/>
          <w:lang w:eastAsia="en-NZ"/>
        </w:rPr>
      </w:pPr>
      <w:r>
        <w:rPr>
          <w:rFonts w:eastAsia="Calibri"/>
          <w:lang w:eastAsia="en-NZ"/>
        </w:rPr>
        <w:t>How do we measure the standard</w:t>
      </w:r>
    </w:p>
    <w:p w:rsidR="00BC2ADB" w:rsidRDefault="00BC2ADB" w:rsidP="00BC2ADB">
      <w:pPr>
        <w:rPr>
          <w:rFonts w:eastAsia="Calibri"/>
          <w:lang w:eastAsia="en-NZ"/>
        </w:rPr>
      </w:pPr>
      <w:r w:rsidRPr="003C0562">
        <w:rPr>
          <w:rFonts w:eastAsia="Calibri"/>
          <w:b/>
          <w:lang w:eastAsia="en-NZ"/>
        </w:rPr>
        <w:t>Numerator:</w:t>
      </w:r>
      <w:r>
        <w:rPr>
          <w:rFonts w:eastAsia="Calibri"/>
          <w:lang w:eastAsia="en-NZ"/>
        </w:rPr>
        <w:t xml:space="preserve"> Number of patients with ECOG 0–2 performance status who started treatment within 62 calendar days of referral.</w:t>
      </w:r>
    </w:p>
    <w:p w:rsidR="00BC2ADB" w:rsidRPr="007F36E4" w:rsidRDefault="00BC2ADB" w:rsidP="00BC2ADB">
      <w:pPr>
        <w:rPr>
          <w:rFonts w:eastAsia="Calibri"/>
          <w:lang w:eastAsia="en-NZ"/>
        </w:rPr>
      </w:pPr>
      <w:r w:rsidRPr="003C0562">
        <w:rPr>
          <w:rFonts w:eastAsia="Calibri"/>
          <w:b/>
          <w:lang w:eastAsia="en-NZ"/>
        </w:rPr>
        <w:t>Denominator:</w:t>
      </w:r>
      <w:r>
        <w:rPr>
          <w:rFonts w:eastAsia="Calibri"/>
          <w:lang w:eastAsia="en-NZ"/>
        </w:rPr>
        <w:t xml:space="preserve"> All patients with </w:t>
      </w:r>
      <w:r w:rsidRPr="002D472A">
        <w:rPr>
          <w:rFonts w:eastAsia="Calibri"/>
          <w:lang w:eastAsia="en-NZ"/>
        </w:rPr>
        <w:t xml:space="preserve">ECOG performance status </w:t>
      </w:r>
      <w:r>
        <w:rPr>
          <w:rFonts w:eastAsia="Calibri"/>
          <w:lang w:eastAsia="en-NZ"/>
        </w:rPr>
        <w:t>0–</w:t>
      </w:r>
      <w:r w:rsidRPr="002D472A">
        <w:rPr>
          <w:rFonts w:eastAsia="Calibri"/>
          <w:lang w:eastAsia="en-NZ"/>
        </w:rPr>
        <w:t>2</w:t>
      </w:r>
      <w:r>
        <w:rPr>
          <w:rFonts w:eastAsia="Calibri"/>
          <w:lang w:eastAsia="en-NZ"/>
        </w:rPr>
        <w:t xml:space="preserve"> with confirmed lung cancer.</w:t>
      </w:r>
    </w:p>
    <w:p w:rsidR="00BC2ADB" w:rsidRPr="007F36E4" w:rsidRDefault="00BC2ADB" w:rsidP="00BC2ADB">
      <w:pPr>
        <w:pStyle w:val="Heading3"/>
        <w:rPr>
          <w:rFonts w:eastAsia="Calibri"/>
        </w:rPr>
      </w:pPr>
      <w:r>
        <w:rPr>
          <w:rFonts w:eastAsia="Calibri"/>
          <w:lang w:eastAsia="en-NZ"/>
        </w:rPr>
        <w:t>Target</w:t>
      </w:r>
    </w:p>
    <w:p w:rsidR="00BC2ADB" w:rsidRPr="007F36E4" w:rsidRDefault="00BC2ADB" w:rsidP="00BC2ADB">
      <w:pPr>
        <w:rPr>
          <w:rFonts w:eastAsia="Calibri"/>
        </w:rPr>
      </w:pPr>
      <w:r w:rsidRPr="007F36E4">
        <w:rPr>
          <w:rFonts w:eastAsia="Calibri"/>
          <w:lang w:eastAsia="en-NZ"/>
        </w:rPr>
        <w:t>More t</w:t>
      </w:r>
      <w:r>
        <w:rPr>
          <w:rFonts w:eastAsia="Calibri"/>
          <w:lang w:eastAsia="en-NZ"/>
        </w:rPr>
        <w:t>han 90 percent of patients meet the standard.</w:t>
      </w:r>
    </w:p>
    <w:p w:rsidR="00BC2ADB" w:rsidRPr="007F36E4" w:rsidRDefault="00BC2ADB" w:rsidP="00BC2ADB">
      <w:pPr>
        <w:pStyle w:val="Heading3"/>
        <w:rPr>
          <w:rFonts w:eastAsia="Calibri"/>
        </w:rPr>
      </w:pPr>
      <w:r w:rsidRPr="007F36E4">
        <w:rPr>
          <w:rFonts w:eastAsia="Calibri"/>
        </w:rPr>
        <w:t>Monitoring requirement</w:t>
      </w:r>
    </w:p>
    <w:p w:rsidR="00BC2ADB" w:rsidRPr="007F36E4" w:rsidRDefault="00BC2ADB" w:rsidP="00BC2ADB">
      <w:pPr>
        <w:rPr>
          <w:rFonts w:eastAsia="Calibri"/>
        </w:rPr>
      </w:pPr>
      <w:proofErr w:type="gramStart"/>
      <w:r>
        <w:rPr>
          <w:rFonts w:eastAsia="Calibri"/>
        </w:rPr>
        <w:t>Annual report to regional cancer networks and regional lung cancer work groups.</w:t>
      </w:r>
      <w:proofErr w:type="gramEnd"/>
    </w:p>
    <w:p w:rsidR="00B80046" w:rsidRDefault="00B80046" w:rsidP="00BC2ADB">
      <w:bookmarkStart w:id="34" w:name="_Toc297732844"/>
      <w:bookmarkStart w:id="35" w:name="_Toc399763961"/>
      <w:bookmarkEnd w:id="32"/>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C2ADB" w:rsidTr="003A0A33">
        <w:trPr>
          <w:cantSplit/>
        </w:trPr>
        <w:tc>
          <w:tcPr>
            <w:tcW w:w="1843" w:type="dxa"/>
            <w:shd w:val="clear" w:color="auto" w:fill="auto"/>
          </w:tcPr>
          <w:p w:rsidR="00BC2ADB" w:rsidRPr="00640EE6" w:rsidRDefault="00BC2ADB" w:rsidP="00CA5250">
            <w:pPr>
              <w:pStyle w:val="Heading2"/>
              <w:keepNext w:val="0"/>
              <w:spacing w:before="120"/>
              <w:rPr>
                <w:sz w:val="24"/>
                <w:szCs w:val="24"/>
              </w:rPr>
            </w:pPr>
            <w:bookmarkStart w:id="36" w:name="_Toc448737407"/>
            <w:r w:rsidRPr="00640EE6">
              <w:rPr>
                <w:sz w:val="24"/>
                <w:szCs w:val="24"/>
              </w:rPr>
              <w:lastRenderedPageBreak/>
              <w:t xml:space="preserve">Standard </w:t>
            </w:r>
            <w:r>
              <w:rPr>
                <w:sz w:val="24"/>
                <w:szCs w:val="24"/>
              </w:rPr>
              <w:t>2</w:t>
            </w:r>
            <w:r w:rsidRPr="00640EE6">
              <w:rPr>
                <w:sz w:val="24"/>
                <w:szCs w:val="24"/>
              </w:rPr>
              <w:t>.</w:t>
            </w:r>
            <w:r>
              <w:rPr>
                <w:sz w:val="24"/>
                <w:szCs w:val="24"/>
              </w:rPr>
              <w:t>2</w:t>
            </w:r>
            <w:bookmarkEnd w:id="36"/>
          </w:p>
        </w:tc>
        <w:tc>
          <w:tcPr>
            <w:tcW w:w="6095" w:type="dxa"/>
            <w:shd w:val="clear" w:color="auto" w:fill="auto"/>
          </w:tcPr>
          <w:p w:rsidR="00BC2ADB" w:rsidRPr="006E7C35" w:rsidRDefault="00BC2ADB" w:rsidP="003A0A33">
            <w:pPr>
              <w:pStyle w:val="TableText"/>
              <w:keepNext/>
            </w:pPr>
            <w:r w:rsidRPr="00D52308">
              <w:t xml:space="preserve">Patients with clinical and/or radiological signs and symptoms suggestive of lung cancer should be seen by a specialist with an interest in respiratory medicine within 14 calendar days of </w:t>
            </w:r>
            <w:r>
              <w:t xml:space="preserve">secondary care </w:t>
            </w:r>
            <w:r w:rsidRPr="00D52308">
              <w:t>receiving a referral</w:t>
            </w:r>
            <w:r>
              <w:t>.</w:t>
            </w:r>
          </w:p>
        </w:tc>
      </w:tr>
    </w:tbl>
    <w:p w:rsidR="00BC2ADB" w:rsidRPr="007F36E4" w:rsidRDefault="00BC2ADB" w:rsidP="00BC2ADB">
      <w:pPr>
        <w:pStyle w:val="Heading3"/>
        <w:rPr>
          <w:rFonts w:eastAsia="Calibri"/>
        </w:rPr>
      </w:pPr>
      <w:r>
        <w:rPr>
          <w:rFonts w:eastAsia="Calibri"/>
        </w:rPr>
        <w:t>Rationale</w:t>
      </w:r>
    </w:p>
    <w:p w:rsidR="00BC2ADB" w:rsidRPr="00242BB7" w:rsidRDefault="00BC2ADB" w:rsidP="00BC2ADB">
      <w:r>
        <w:t>See Rationale for Standard 2.1 above.</w:t>
      </w:r>
    </w:p>
    <w:p w:rsidR="00BC2ADB" w:rsidRPr="00AF6474" w:rsidRDefault="00BC2ADB" w:rsidP="00BC2ADB">
      <w:pPr>
        <w:pStyle w:val="Heading3"/>
        <w:rPr>
          <w:rFonts w:eastAsia="Calibri"/>
        </w:rPr>
      </w:pPr>
      <w:r>
        <w:rPr>
          <w:rFonts w:eastAsia="Calibri"/>
        </w:rPr>
        <w:t>How do we measure the standard</w:t>
      </w:r>
    </w:p>
    <w:p w:rsidR="00BC2ADB" w:rsidRDefault="00BC2ADB" w:rsidP="00BC2ADB">
      <w:pPr>
        <w:rPr>
          <w:rFonts w:eastAsia="Calibri"/>
        </w:rPr>
      </w:pPr>
      <w:r w:rsidRPr="00BC2ADB">
        <w:rPr>
          <w:rFonts w:eastAsia="Calibri"/>
          <w:b/>
        </w:rPr>
        <w:t>Numerator:</w:t>
      </w:r>
      <w:r>
        <w:rPr>
          <w:rFonts w:eastAsia="Calibri"/>
        </w:rPr>
        <w:t xml:space="preserve"> Number of patients seen </w:t>
      </w:r>
      <w:r w:rsidRPr="00D52308">
        <w:t>by a specialist with an interest in respiratory medicine within 14 calendar days</w:t>
      </w:r>
      <w:r>
        <w:rPr>
          <w:rFonts w:eastAsia="Calibri"/>
        </w:rPr>
        <w:t xml:space="preserve"> of referral.</w:t>
      </w:r>
    </w:p>
    <w:p w:rsidR="00BC2ADB" w:rsidRPr="007F36E4" w:rsidRDefault="00BC2ADB" w:rsidP="00BC2ADB">
      <w:pPr>
        <w:rPr>
          <w:rFonts w:eastAsia="Calibri"/>
        </w:rPr>
      </w:pPr>
      <w:r w:rsidRPr="00BC2ADB">
        <w:rPr>
          <w:rFonts w:eastAsia="Calibri"/>
          <w:b/>
        </w:rPr>
        <w:t>Denominator:</w:t>
      </w:r>
      <w:r>
        <w:rPr>
          <w:rFonts w:eastAsia="Calibri"/>
        </w:rPr>
        <w:t xml:space="preserve"> All referrals with a high suspicion of lung cancer received at secondary services.</w:t>
      </w:r>
    </w:p>
    <w:p w:rsidR="00BC2ADB" w:rsidRPr="007F36E4" w:rsidRDefault="00BC2ADB" w:rsidP="00BC2ADB">
      <w:pPr>
        <w:pStyle w:val="Heading3"/>
        <w:rPr>
          <w:rFonts w:eastAsia="Calibri"/>
        </w:rPr>
      </w:pPr>
      <w:r>
        <w:rPr>
          <w:rFonts w:eastAsia="Calibri"/>
        </w:rPr>
        <w:t>Target</w:t>
      </w:r>
    </w:p>
    <w:p w:rsidR="00BC2ADB" w:rsidRPr="007F36E4" w:rsidRDefault="00BC2ADB" w:rsidP="00BC2ADB">
      <w:pPr>
        <w:rPr>
          <w:rFonts w:eastAsia="Calibri"/>
        </w:rPr>
      </w:pPr>
      <w:r>
        <w:rPr>
          <w:rFonts w:eastAsia="Calibri"/>
        </w:rPr>
        <w:t>95 percent of patients meet the standard.</w:t>
      </w:r>
    </w:p>
    <w:p w:rsidR="00BC2ADB" w:rsidRPr="007F36E4" w:rsidRDefault="00BC2ADB" w:rsidP="00BC2ADB">
      <w:pPr>
        <w:pStyle w:val="Heading3"/>
        <w:rPr>
          <w:rFonts w:eastAsia="Calibri"/>
        </w:rPr>
      </w:pPr>
      <w:r w:rsidRPr="007F36E4">
        <w:rPr>
          <w:rFonts w:eastAsia="Calibri"/>
        </w:rPr>
        <w:t>Monitoring requirement</w:t>
      </w:r>
    </w:p>
    <w:p w:rsidR="00BC2ADB" w:rsidRPr="007F36E4" w:rsidRDefault="00BC2ADB" w:rsidP="00BC2ADB">
      <w:pPr>
        <w:rPr>
          <w:rFonts w:eastAsia="Calibri"/>
        </w:rPr>
      </w:pPr>
      <w:r>
        <w:rPr>
          <w:rFonts w:eastAsia="Calibri"/>
        </w:rPr>
        <w:t>Six-monthly report to regional cancer network and regional lung cancer work group.</w:t>
      </w:r>
    </w:p>
    <w:p w:rsidR="00E64E91" w:rsidRPr="00A71B62" w:rsidRDefault="00E64E91" w:rsidP="00BC2ADB">
      <w:pPr>
        <w:pStyle w:val="Heading2"/>
      </w:pPr>
      <w:bookmarkStart w:id="37" w:name="_Toc448737408"/>
      <w:r w:rsidRPr="00A71B62">
        <w:t>Good practice points</w:t>
      </w:r>
      <w:bookmarkEnd w:id="34"/>
      <w:bookmarkEnd w:id="35"/>
      <w:bookmarkEnd w:id="37"/>
    </w:p>
    <w:p w:rsidR="002D0608" w:rsidRDefault="00BC2ADB" w:rsidP="00BC2ADB">
      <w:pPr>
        <w:ind w:left="851" w:hanging="851"/>
      </w:pPr>
      <w:r>
        <w:t>2.1.1</w:t>
      </w:r>
      <w:r>
        <w:tab/>
      </w:r>
      <w:r w:rsidR="00E523A8">
        <w:t>Routine recording of key intervention points is necessary</w:t>
      </w:r>
      <w:r w:rsidR="00004375">
        <w:t>,</w:t>
      </w:r>
      <w:r w:rsidR="00E523A8">
        <w:t xml:space="preserve"> to enable </w:t>
      </w:r>
      <w:r w:rsidR="00607E26">
        <w:t xml:space="preserve">identification and </w:t>
      </w:r>
      <w:r w:rsidR="00E523A8">
        <w:t>monitoring of bottlenecks in the patient pathway.</w:t>
      </w:r>
    </w:p>
    <w:p w:rsidR="002D0608" w:rsidRDefault="00BC2ADB" w:rsidP="00BC2ADB">
      <w:pPr>
        <w:ind w:left="851" w:hanging="851"/>
      </w:pPr>
      <w:r>
        <w:t>2.1.2</w:t>
      </w:r>
      <w:r>
        <w:tab/>
      </w:r>
      <w:r w:rsidR="00004375">
        <w:t xml:space="preserve">Practitioners should perform </w:t>
      </w:r>
      <w:r w:rsidR="00E64E91" w:rsidRPr="000759DB">
        <w:t>CT scan</w:t>
      </w:r>
      <w:r w:rsidR="00004375">
        <w:t>s</w:t>
      </w:r>
      <w:r w:rsidR="00E64E91" w:rsidRPr="000759DB">
        <w:t xml:space="preserve"> of </w:t>
      </w:r>
      <w:r w:rsidR="00E64E91">
        <w:t xml:space="preserve">the </w:t>
      </w:r>
      <w:r w:rsidR="00E64E91" w:rsidRPr="000759DB">
        <w:t>lower neck, chest and upper abdomen as early as possible</w:t>
      </w:r>
      <w:r w:rsidR="00202126">
        <w:t>.</w:t>
      </w:r>
    </w:p>
    <w:p w:rsidR="00822977" w:rsidRDefault="00BC2ADB" w:rsidP="00BC2ADB">
      <w:pPr>
        <w:ind w:left="851" w:hanging="851"/>
      </w:pPr>
      <w:r>
        <w:t>2.1.3</w:t>
      </w:r>
      <w:r>
        <w:tab/>
      </w:r>
      <w:r w:rsidR="00004375">
        <w:t>Patients should have o</w:t>
      </w:r>
      <w:r w:rsidR="00822977" w:rsidRPr="00A11FC0">
        <w:t>pen access (</w:t>
      </w:r>
      <w:r w:rsidR="00004375">
        <w:t xml:space="preserve">a </w:t>
      </w:r>
      <w:r w:rsidR="00822977" w:rsidRPr="00A11FC0">
        <w:t>same-day or no-wait service within the public sys</w:t>
      </w:r>
      <w:r w:rsidR="00822977">
        <w:t xml:space="preserve">tem) </w:t>
      </w:r>
      <w:r w:rsidR="00004375">
        <w:t xml:space="preserve">to </w:t>
      </w:r>
      <w:r w:rsidR="00822977">
        <w:t xml:space="preserve">chest </w:t>
      </w:r>
      <w:r w:rsidR="00C108E3">
        <w:rPr>
          <w:szCs w:val="22"/>
        </w:rPr>
        <w:t>X</w:t>
      </w:r>
      <w:r w:rsidR="00822977">
        <w:t>-</w:t>
      </w:r>
      <w:r w:rsidR="00004375">
        <w:t xml:space="preserve">services </w:t>
      </w:r>
      <w:r w:rsidR="00822977" w:rsidRPr="00A11FC0">
        <w:t>inside working hours.</w:t>
      </w:r>
    </w:p>
    <w:p w:rsidR="002D0608" w:rsidRDefault="00BC2ADB" w:rsidP="00BC2ADB">
      <w:pPr>
        <w:ind w:left="851" w:hanging="851"/>
        <w:rPr>
          <w:szCs w:val="22"/>
        </w:rPr>
      </w:pPr>
      <w:r>
        <w:rPr>
          <w:szCs w:val="22"/>
        </w:rPr>
        <w:t>2.1.4</w:t>
      </w:r>
      <w:r>
        <w:rPr>
          <w:szCs w:val="22"/>
        </w:rPr>
        <w:tab/>
      </w:r>
      <w:r w:rsidR="00822977" w:rsidRPr="004C4091">
        <w:rPr>
          <w:szCs w:val="22"/>
        </w:rPr>
        <w:t>P</w:t>
      </w:r>
      <w:r w:rsidR="00004375">
        <w:rPr>
          <w:szCs w:val="22"/>
        </w:rPr>
        <w:t>ractitioners should prioritise p</w:t>
      </w:r>
      <w:r w:rsidR="00822977" w:rsidRPr="004C4091">
        <w:rPr>
          <w:szCs w:val="22"/>
        </w:rPr>
        <w:t>atients with early</w:t>
      </w:r>
      <w:r w:rsidR="00004375">
        <w:rPr>
          <w:szCs w:val="22"/>
        </w:rPr>
        <w:t>-</w:t>
      </w:r>
      <w:r w:rsidR="00822977" w:rsidRPr="004C4091">
        <w:rPr>
          <w:szCs w:val="22"/>
        </w:rPr>
        <w:t>stage disease</w:t>
      </w:r>
      <w:r w:rsidR="00202126">
        <w:rPr>
          <w:szCs w:val="22"/>
        </w:rPr>
        <w:t xml:space="preserve"> quickly </w:t>
      </w:r>
      <w:r w:rsidR="00822977" w:rsidRPr="004C4091">
        <w:rPr>
          <w:szCs w:val="22"/>
        </w:rPr>
        <w:t xml:space="preserve">through the </w:t>
      </w:r>
      <w:r w:rsidR="00202126">
        <w:t>cancer treatment pathway</w:t>
      </w:r>
      <w:r w:rsidR="00EC5851">
        <w:t>.</w:t>
      </w:r>
    </w:p>
    <w:p w:rsidR="000A28D3" w:rsidRPr="004C4091" w:rsidRDefault="00BC2ADB" w:rsidP="00BC2ADB">
      <w:pPr>
        <w:ind w:left="851" w:hanging="851"/>
      </w:pPr>
      <w:r>
        <w:t>2.1.5</w:t>
      </w:r>
      <w:r>
        <w:tab/>
      </w:r>
      <w:r w:rsidR="00004375">
        <w:t>Practitioners should refer s</w:t>
      </w:r>
      <w:r w:rsidR="000A28D3">
        <w:t>mall</w:t>
      </w:r>
      <w:r w:rsidR="00740A25">
        <w:t>-</w:t>
      </w:r>
      <w:r w:rsidR="000A28D3">
        <w:t xml:space="preserve">cell cancer patients to </w:t>
      </w:r>
      <w:r w:rsidR="00F942E4">
        <w:t xml:space="preserve">radiation oncology and/or medical </w:t>
      </w:r>
      <w:r w:rsidR="000A28D3">
        <w:t xml:space="preserve">oncology as soon as </w:t>
      </w:r>
      <w:r w:rsidR="00004375">
        <w:t xml:space="preserve">they have established the </w:t>
      </w:r>
      <w:r w:rsidR="000A28D3">
        <w:t>diagnosis.</w:t>
      </w:r>
    </w:p>
    <w:p w:rsidR="006C3293" w:rsidRDefault="00E24D23" w:rsidP="00B850E5">
      <w:pPr>
        <w:pStyle w:val="Heading1"/>
      </w:pPr>
      <w:bookmarkStart w:id="38" w:name="_Toc290903015"/>
      <w:bookmarkStart w:id="39" w:name="_Toc399763963"/>
      <w:r>
        <w:br w:type="page"/>
      </w:r>
      <w:bookmarkStart w:id="40" w:name="_Toc448737409"/>
      <w:r w:rsidR="003C0562">
        <w:lastRenderedPageBreak/>
        <w:t>3</w:t>
      </w:r>
      <w:r w:rsidR="00E64E91">
        <w:tab/>
      </w:r>
      <w:r w:rsidR="00963BA0">
        <w:t>Referral</w:t>
      </w:r>
      <w:r w:rsidR="00E64E91" w:rsidRPr="003B5CFF">
        <w:t xml:space="preserve"> and </w:t>
      </w:r>
      <w:bookmarkEnd w:id="38"/>
      <w:r w:rsidR="00963BA0">
        <w:t>communication</w:t>
      </w:r>
      <w:bookmarkEnd w:id="39"/>
      <w:bookmarkEnd w:id="40"/>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C2ADB" w:rsidTr="003A0A33">
        <w:trPr>
          <w:cantSplit/>
        </w:trPr>
        <w:tc>
          <w:tcPr>
            <w:tcW w:w="1843" w:type="dxa"/>
            <w:shd w:val="clear" w:color="auto" w:fill="auto"/>
          </w:tcPr>
          <w:p w:rsidR="00BC2ADB" w:rsidRPr="00640EE6" w:rsidRDefault="00BC2ADB" w:rsidP="00CA5250">
            <w:pPr>
              <w:pStyle w:val="Heading2"/>
              <w:keepNext w:val="0"/>
              <w:spacing w:before="120"/>
              <w:rPr>
                <w:sz w:val="24"/>
                <w:szCs w:val="24"/>
              </w:rPr>
            </w:pPr>
            <w:bookmarkStart w:id="41" w:name="_Toc448737410"/>
            <w:r w:rsidRPr="00640EE6">
              <w:rPr>
                <w:sz w:val="24"/>
                <w:szCs w:val="24"/>
              </w:rPr>
              <w:t xml:space="preserve">Standard </w:t>
            </w:r>
            <w:r w:rsidR="00BF1200">
              <w:rPr>
                <w:sz w:val="24"/>
                <w:szCs w:val="24"/>
              </w:rPr>
              <w:t>3</w:t>
            </w:r>
            <w:r w:rsidRPr="00640EE6">
              <w:rPr>
                <w:sz w:val="24"/>
                <w:szCs w:val="24"/>
              </w:rPr>
              <w:t>.</w:t>
            </w:r>
            <w:r>
              <w:rPr>
                <w:sz w:val="24"/>
                <w:szCs w:val="24"/>
              </w:rPr>
              <w:t>1</w:t>
            </w:r>
            <w:bookmarkEnd w:id="41"/>
          </w:p>
        </w:tc>
        <w:tc>
          <w:tcPr>
            <w:tcW w:w="6095" w:type="dxa"/>
            <w:shd w:val="clear" w:color="auto" w:fill="auto"/>
          </w:tcPr>
          <w:p w:rsidR="00BC2ADB" w:rsidRPr="006E7C35" w:rsidRDefault="00BF1200" w:rsidP="003A0A33">
            <w:pPr>
              <w:pStyle w:val="TableText"/>
              <w:keepNext/>
            </w:pPr>
            <w:r>
              <w:t>Each cancer centre should provide a lung cancer investigation and management pathway that is easily accessible to all members of the lung cancer service, including primary care general practices.</w:t>
            </w:r>
          </w:p>
        </w:tc>
      </w:tr>
    </w:tbl>
    <w:p w:rsidR="00BF1200" w:rsidRPr="007F36E4" w:rsidRDefault="00BF1200" w:rsidP="00BF1200">
      <w:pPr>
        <w:pStyle w:val="Heading3"/>
        <w:rPr>
          <w:rFonts w:eastAsia="Calibri"/>
        </w:rPr>
      </w:pPr>
      <w:r>
        <w:rPr>
          <w:rFonts w:eastAsia="Calibri"/>
        </w:rPr>
        <w:t>Rationale</w:t>
      </w:r>
    </w:p>
    <w:p w:rsidR="00BF1200" w:rsidRPr="00242BB7" w:rsidRDefault="00BF1200" w:rsidP="00BF1200">
      <w:r w:rsidRPr="000759DB">
        <w:t xml:space="preserve">The purpose of the referral pathway is to ensure </w:t>
      </w:r>
      <w:r>
        <w:t xml:space="preserve">that </w:t>
      </w:r>
      <w:r w:rsidRPr="000759DB">
        <w:t>all patients with suspected lung cancer are referred to the most appropriate health care service</w:t>
      </w:r>
      <w:r>
        <w:t>,</w:t>
      </w:r>
      <w:r w:rsidRPr="000759DB">
        <w:t xml:space="preserve"> and </w:t>
      </w:r>
      <w:r>
        <w:t xml:space="preserve">that </w:t>
      </w:r>
      <w:r w:rsidRPr="000759DB">
        <w:t>appropriate standardised information is available in the referral.</w:t>
      </w:r>
    </w:p>
    <w:p w:rsidR="00BF1200" w:rsidRPr="00AF6474" w:rsidRDefault="00BF1200" w:rsidP="00BF1200">
      <w:pPr>
        <w:pStyle w:val="Heading3"/>
        <w:rPr>
          <w:rFonts w:eastAsia="Calibri"/>
        </w:rPr>
      </w:pPr>
      <w:r>
        <w:rPr>
          <w:rFonts w:eastAsia="Calibri"/>
        </w:rPr>
        <w:t>How do we measure the standard</w:t>
      </w:r>
    </w:p>
    <w:p w:rsidR="00BF1200" w:rsidRPr="007F36E4" w:rsidRDefault="00BF1200" w:rsidP="00BF1200">
      <w:pPr>
        <w:rPr>
          <w:rFonts w:eastAsia="Calibri"/>
        </w:rPr>
      </w:pPr>
      <w:r>
        <w:rPr>
          <w:rFonts w:eastAsia="Calibri"/>
        </w:rPr>
        <w:t>Pathway is available to members of the lung cancer team including primary care general practices.</w:t>
      </w:r>
    </w:p>
    <w:p w:rsidR="00BF1200" w:rsidRPr="007F36E4" w:rsidRDefault="00BF1200" w:rsidP="00BF1200">
      <w:pPr>
        <w:pStyle w:val="Heading3"/>
        <w:rPr>
          <w:rFonts w:eastAsia="Calibri"/>
        </w:rPr>
      </w:pPr>
      <w:r>
        <w:rPr>
          <w:rFonts w:eastAsia="Calibri"/>
        </w:rPr>
        <w:t>Target</w:t>
      </w:r>
    </w:p>
    <w:p w:rsidR="00BF1200" w:rsidRPr="007F36E4" w:rsidRDefault="00BF1200" w:rsidP="00BF1200">
      <w:pPr>
        <w:rPr>
          <w:rFonts w:eastAsia="Calibri"/>
        </w:rPr>
      </w:pPr>
      <w:r>
        <w:rPr>
          <w:rFonts w:eastAsia="Calibri"/>
        </w:rPr>
        <w:t>100 percent of all lung cancer service members, including primary care general practices, can access lung cancer pathway information. This implies universal availability of information.</w:t>
      </w:r>
    </w:p>
    <w:p w:rsidR="00BF1200" w:rsidRPr="007F36E4" w:rsidRDefault="00BF1200" w:rsidP="00CA5250">
      <w:pPr>
        <w:pStyle w:val="Heading3"/>
        <w:rPr>
          <w:rFonts w:eastAsia="Calibri"/>
        </w:rPr>
      </w:pPr>
      <w:r w:rsidRPr="007F36E4">
        <w:rPr>
          <w:rFonts w:eastAsia="Calibri"/>
        </w:rPr>
        <w:t>Monitoring requirement</w:t>
      </w:r>
    </w:p>
    <w:p w:rsidR="00BF1200" w:rsidRPr="007F36E4" w:rsidRDefault="00BF1200" w:rsidP="00CA5250">
      <w:pPr>
        <w:rPr>
          <w:rFonts w:eastAsia="Calibri"/>
        </w:rPr>
      </w:pPr>
      <w:r>
        <w:rPr>
          <w:rFonts w:eastAsia="Calibri"/>
        </w:rPr>
        <w:t>Evidence of an annual review of regional lung cancer pathway (</w:t>
      </w:r>
      <w:proofErr w:type="spellStart"/>
      <w:r>
        <w:rPr>
          <w:rFonts w:eastAsia="Calibri"/>
        </w:rPr>
        <w:t>eg</w:t>
      </w:r>
      <w:proofErr w:type="spellEnd"/>
      <w:r>
        <w:rPr>
          <w:rFonts w:eastAsia="Calibri"/>
        </w:rPr>
        <w:t>, minutes of work group meetings).</w:t>
      </w:r>
    </w:p>
    <w:p w:rsidR="00E64E91" w:rsidRPr="003E290F" w:rsidRDefault="00E64E91" w:rsidP="00CA5250">
      <w:pPr>
        <w:pStyle w:val="Heading3"/>
      </w:pPr>
      <w:bookmarkStart w:id="42" w:name="_Toc297732848"/>
      <w:bookmarkStart w:id="43" w:name="_Toc399763965"/>
      <w:r w:rsidRPr="003E290F">
        <w:t>Good practice points</w:t>
      </w:r>
      <w:bookmarkEnd w:id="42"/>
      <w:bookmarkEnd w:id="43"/>
    </w:p>
    <w:p w:rsidR="002D0608" w:rsidRDefault="00070AFA" w:rsidP="00CA5250">
      <w:pPr>
        <w:ind w:left="851" w:hanging="851"/>
      </w:pPr>
      <w:r>
        <w:t>3.1.1</w:t>
      </w:r>
      <w:r w:rsidR="00E64E91" w:rsidRPr="000759DB">
        <w:tab/>
      </w:r>
      <w:r w:rsidR="004E4604">
        <w:t>R</w:t>
      </w:r>
      <w:r w:rsidR="00E64E91" w:rsidRPr="000759DB">
        <w:t>eferral</w:t>
      </w:r>
      <w:r w:rsidR="004E4604">
        <w:t>s</w:t>
      </w:r>
      <w:r w:rsidR="00E64E91" w:rsidRPr="000759DB">
        <w:t xml:space="preserve"> should contain the words </w:t>
      </w:r>
      <w:r w:rsidR="002D0608">
        <w:t>‘</w:t>
      </w:r>
      <w:r w:rsidR="00EC16B1">
        <w:t>high suspicion of cancer</w:t>
      </w:r>
      <w:r w:rsidR="002D0608">
        <w:t>’</w:t>
      </w:r>
      <w:r w:rsidR="00E64E91" w:rsidRPr="000759DB">
        <w:t xml:space="preserve"> </w:t>
      </w:r>
      <w:r w:rsidR="00F942E4">
        <w:t>(</w:t>
      </w:r>
      <w:proofErr w:type="spellStart"/>
      <w:r w:rsidR="00F942E4">
        <w:t>HSCan</w:t>
      </w:r>
      <w:proofErr w:type="spellEnd"/>
      <w:r w:rsidR="00F942E4">
        <w:t xml:space="preserve">) </w:t>
      </w:r>
      <w:r w:rsidR="00E64E91" w:rsidRPr="000759DB">
        <w:t xml:space="preserve">to </w:t>
      </w:r>
      <w:r w:rsidR="00E64E91">
        <w:t>help</w:t>
      </w:r>
      <w:r w:rsidR="00E64E91" w:rsidRPr="000759DB">
        <w:t xml:space="preserve"> with prioritisation.</w:t>
      </w:r>
    </w:p>
    <w:p w:rsidR="002D0608" w:rsidRDefault="00CA5250" w:rsidP="00CA5250">
      <w:pPr>
        <w:ind w:left="851" w:hanging="851"/>
      </w:pPr>
      <w:r>
        <w:t>3.1.2</w:t>
      </w:r>
      <w:r>
        <w:tab/>
      </w:r>
      <w:r w:rsidR="004E4604">
        <w:t>Practitioners should make e</w:t>
      </w:r>
      <w:r w:rsidR="00E64E91" w:rsidRPr="000759DB">
        <w:t xml:space="preserve">lectronic </w:t>
      </w:r>
      <w:proofErr w:type="spellStart"/>
      <w:r w:rsidR="00E64E91" w:rsidRPr="000759DB">
        <w:t>proforma</w:t>
      </w:r>
      <w:proofErr w:type="spellEnd"/>
      <w:r w:rsidR="00E64E91" w:rsidRPr="000759DB">
        <w:t>-based referral</w:t>
      </w:r>
      <w:r w:rsidR="004E4604">
        <w:t>s</w:t>
      </w:r>
      <w:r w:rsidR="00E64E91" w:rsidRPr="000759DB">
        <w:t>.</w:t>
      </w:r>
    </w:p>
    <w:p w:rsidR="00E64E91" w:rsidRPr="000759DB" w:rsidRDefault="00070AFA" w:rsidP="00CA5250">
      <w:pPr>
        <w:ind w:left="851" w:hanging="851"/>
      </w:pPr>
      <w:r>
        <w:t>3.1.3</w:t>
      </w:r>
      <w:r w:rsidR="00E64E91">
        <w:tab/>
      </w:r>
      <w:r w:rsidR="004E4604">
        <w:t>Practitioners should maintain t</w:t>
      </w:r>
      <w:r w:rsidR="00E64E91">
        <w:t>wo-way communication between primary, secondary and tert</w:t>
      </w:r>
      <w:r>
        <w:t xml:space="preserve">iary care </w:t>
      </w:r>
      <w:r w:rsidR="00E64E91">
        <w:t>during patients</w:t>
      </w:r>
      <w:r w:rsidR="002D0608">
        <w:t>’</w:t>
      </w:r>
      <w:r w:rsidR="00E64E91">
        <w:t xml:space="preserve"> lung cancer journey.</w:t>
      </w:r>
    </w:p>
    <w:p w:rsidR="00CA5250" w:rsidRDefault="00CA5250" w:rsidP="00CA5250">
      <w:bookmarkStart w:id="44" w:name="_Toc290903017"/>
      <w:bookmarkStart w:id="45" w:name="_Toc399763967"/>
      <w:r>
        <w:br w:type="page"/>
      </w:r>
    </w:p>
    <w:p w:rsidR="006C3293" w:rsidRDefault="00E64E91" w:rsidP="00CA5250">
      <w:pPr>
        <w:pStyle w:val="Heading1"/>
      </w:pPr>
      <w:bookmarkStart w:id="46" w:name="_Toc448737411"/>
      <w:r w:rsidRPr="005511E5">
        <w:lastRenderedPageBreak/>
        <w:t>4</w:t>
      </w:r>
      <w:r w:rsidRPr="005511E5">
        <w:tab/>
        <w:t>Investigations</w:t>
      </w:r>
      <w:bookmarkEnd w:id="44"/>
      <w:bookmarkEnd w:id="45"/>
      <w:r w:rsidR="00C35F13">
        <w:t>, diagnosis and staging</w:t>
      </w:r>
      <w:bookmarkEnd w:id="46"/>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C2ADB" w:rsidTr="003A0A33">
        <w:trPr>
          <w:cantSplit/>
        </w:trPr>
        <w:tc>
          <w:tcPr>
            <w:tcW w:w="1843" w:type="dxa"/>
            <w:shd w:val="clear" w:color="auto" w:fill="auto"/>
          </w:tcPr>
          <w:p w:rsidR="00BC2ADB" w:rsidRPr="00640EE6" w:rsidRDefault="00BC2ADB" w:rsidP="00CA5250">
            <w:pPr>
              <w:pStyle w:val="Heading2"/>
              <w:keepNext w:val="0"/>
              <w:spacing w:before="120"/>
              <w:rPr>
                <w:sz w:val="24"/>
                <w:szCs w:val="24"/>
              </w:rPr>
            </w:pPr>
            <w:bookmarkStart w:id="47" w:name="_Toc448737412"/>
            <w:r w:rsidRPr="00640EE6">
              <w:rPr>
                <w:sz w:val="24"/>
                <w:szCs w:val="24"/>
              </w:rPr>
              <w:t xml:space="preserve">Standard </w:t>
            </w:r>
            <w:r w:rsidR="00CA5250">
              <w:rPr>
                <w:sz w:val="24"/>
                <w:szCs w:val="24"/>
              </w:rPr>
              <w:t>4</w:t>
            </w:r>
            <w:r w:rsidRPr="00640EE6">
              <w:rPr>
                <w:sz w:val="24"/>
                <w:szCs w:val="24"/>
              </w:rPr>
              <w:t>.</w:t>
            </w:r>
            <w:r>
              <w:rPr>
                <w:sz w:val="24"/>
                <w:szCs w:val="24"/>
              </w:rPr>
              <w:t>1</w:t>
            </w:r>
            <w:bookmarkEnd w:id="47"/>
          </w:p>
        </w:tc>
        <w:tc>
          <w:tcPr>
            <w:tcW w:w="6095" w:type="dxa"/>
            <w:shd w:val="clear" w:color="auto" w:fill="auto"/>
          </w:tcPr>
          <w:p w:rsidR="00BC2ADB" w:rsidRPr="006E7C35" w:rsidRDefault="00CA5250" w:rsidP="003A0A33">
            <w:pPr>
              <w:pStyle w:val="TableText"/>
              <w:keepNext/>
            </w:pPr>
            <w:r>
              <w:rPr>
                <w:rFonts w:eastAsia="Calibri"/>
              </w:rPr>
              <w:t>CT</w:t>
            </w:r>
            <w:r w:rsidRPr="00321874">
              <w:rPr>
                <w:rFonts w:eastAsia="Calibri"/>
              </w:rPr>
              <w:t xml:space="preserve"> should be performed before a bronchoscopy.</w:t>
            </w:r>
          </w:p>
        </w:tc>
      </w:tr>
    </w:tbl>
    <w:p w:rsidR="00CA5250" w:rsidRDefault="00CA5250" w:rsidP="00CA5250">
      <w:pPr>
        <w:pStyle w:val="Heading3"/>
        <w:rPr>
          <w:rFonts w:eastAsia="Calibri"/>
          <w:lang w:eastAsia="en-NZ"/>
        </w:rPr>
      </w:pPr>
      <w:r>
        <w:rPr>
          <w:rFonts w:eastAsia="Calibri"/>
          <w:lang w:eastAsia="en-NZ"/>
        </w:rPr>
        <w:t>Rationale</w:t>
      </w:r>
    </w:p>
    <w:p w:rsidR="00CA5250" w:rsidRPr="007F36E4" w:rsidRDefault="00CA5250" w:rsidP="00CA5250">
      <w:pPr>
        <w:rPr>
          <w:rFonts w:eastAsia="Calibri"/>
          <w:lang w:eastAsia="en-NZ"/>
        </w:rPr>
      </w:pPr>
      <w:r>
        <w:rPr>
          <w:rFonts w:eastAsia="Calibri"/>
          <w:lang w:eastAsia="en-NZ"/>
        </w:rPr>
        <w:t>CT prior to bronchoscopy improves the positive diagnostic yield, thereby reducing the requirement for repeat investigation.</w:t>
      </w:r>
    </w:p>
    <w:p w:rsidR="00CA5250" w:rsidRPr="009337F8" w:rsidRDefault="00CA5250" w:rsidP="00CA5250">
      <w:pPr>
        <w:pStyle w:val="Heading3"/>
        <w:rPr>
          <w:rFonts w:eastAsia="Calibri"/>
          <w:lang w:eastAsia="en-NZ"/>
        </w:rPr>
      </w:pPr>
      <w:r>
        <w:rPr>
          <w:rFonts w:eastAsia="Calibri"/>
          <w:lang w:eastAsia="en-NZ"/>
        </w:rPr>
        <w:t>How do we measure the standard</w:t>
      </w:r>
    </w:p>
    <w:p w:rsidR="00CA5250" w:rsidRPr="007F36E4" w:rsidRDefault="00CA5250" w:rsidP="00CA5250">
      <w:pPr>
        <w:rPr>
          <w:rFonts w:eastAsia="Calibri"/>
          <w:lang w:eastAsia="en-NZ"/>
        </w:rPr>
      </w:pPr>
      <w:r w:rsidRPr="007F36E4">
        <w:rPr>
          <w:rFonts w:eastAsia="Calibri"/>
          <w:b/>
          <w:bCs/>
          <w:lang w:eastAsia="en-NZ"/>
        </w:rPr>
        <w:t xml:space="preserve">Numerator: </w:t>
      </w:r>
      <w:r w:rsidRPr="007F36E4">
        <w:rPr>
          <w:rFonts w:eastAsia="Calibri"/>
          <w:lang w:eastAsia="en-NZ"/>
        </w:rPr>
        <w:t>Number of patients with lung cancer undergoing bronchoscopy where CT chest was performed prior to bronchoscopy.</w:t>
      </w:r>
    </w:p>
    <w:p w:rsidR="00CA5250" w:rsidRDefault="00CA5250" w:rsidP="00CA5250">
      <w:pPr>
        <w:rPr>
          <w:rFonts w:eastAsia="Calibri"/>
          <w:lang w:eastAsia="en-NZ"/>
        </w:rPr>
      </w:pPr>
      <w:r w:rsidRPr="007F36E4">
        <w:rPr>
          <w:rFonts w:eastAsia="Calibri"/>
          <w:b/>
          <w:bCs/>
          <w:lang w:eastAsia="en-NZ"/>
        </w:rPr>
        <w:t xml:space="preserve">Denominator: </w:t>
      </w:r>
      <w:r w:rsidRPr="007F36E4">
        <w:rPr>
          <w:rFonts w:eastAsia="Calibri"/>
          <w:lang w:eastAsia="en-NZ"/>
        </w:rPr>
        <w:t>All patients with lung cancer undergoing bronchoscopy</w:t>
      </w:r>
      <w:r>
        <w:rPr>
          <w:rFonts w:eastAsia="Calibri"/>
          <w:lang w:eastAsia="en-NZ"/>
        </w:rPr>
        <w:t>.</w:t>
      </w:r>
    </w:p>
    <w:p w:rsidR="00CA5250" w:rsidRPr="007F36E4" w:rsidRDefault="00CA5250" w:rsidP="00CA5250">
      <w:pPr>
        <w:rPr>
          <w:rFonts w:eastAsia="Calibri"/>
          <w:lang w:eastAsia="en-NZ"/>
        </w:rPr>
      </w:pPr>
      <w:proofErr w:type="gramStart"/>
      <w:r>
        <w:rPr>
          <w:rFonts w:eastAsia="Calibri"/>
          <w:lang w:eastAsia="en-NZ"/>
        </w:rPr>
        <w:t>A sample of 20 patients seen in the six-month period.</w:t>
      </w:r>
      <w:proofErr w:type="gramEnd"/>
    </w:p>
    <w:p w:rsidR="00CA5250" w:rsidRPr="007F36E4" w:rsidRDefault="00CA5250" w:rsidP="00CA5250">
      <w:pPr>
        <w:pStyle w:val="Heading3"/>
        <w:rPr>
          <w:rFonts w:eastAsia="Calibri"/>
        </w:rPr>
      </w:pPr>
      <w:r>
        <w:rPr>
          <w:rFonts w:eastAsia="Calibri"/>
          <w:lang w:eastAsia="en-NZ"/>
        </w:rPr>
        <w:t>Target</w:t>
      </w:r>
    </w:p>
    <w:p w:rsidR="00CA5250" w:rsidRDefault="00CA5250" w:rsidP="00CA5250">
      <w:pPr>
        <w:rPr>
          <w:rFonts w:eastAsia="Calibri"/>
          <w:lang w:eastAsia="en-NZ"/>
        </w:rPr>
      </w:pPr>
      <w:r w:rsidRPr="007F36E4">
        <w:rPr>
          <w:rFonts w:eastAsia="Calibri"/>
          <w:lang w:eastAsia="en-NZ"/>
        </w:rPr>
        <w:t>More than 95</w:t>
      </w:r>
      <w:r>
        <w:rPr>
          <w:rFonts w:eastAsia="Calibri"/>
          <w:lang w:eastAsia="en-NZ"/>
        </w:rPr>
        <w:t xml:space="preserve"> percent</w:t>
      </w:r>
      <w:r w:rsidRPr="007F36E4">
        <w:rPr>
          <w:rFonts w:eastAsia="Calibri"/>
          <w:lang w:eastAsia="en-NZ"/>
        </w:rPr>
        <w:t xml:space="preserve"> </w:t>
      </w:r>
      <w:r>
        <w:rPr>
          <w:rFonts w:eastAsia="Calibri"/>
          <w:lang w:eastAsia="en-NZ"/>
        </w:rPr>
        <w:t xml:space="preserve">of </w:t>
      </w:r>
      <w:r w:rsidRPr="007F36E4">
        <w:rPr>
          <w:rFonts w:eastAsia="Calibri"/>
          <w:lang w:eastAsia="en-NZ"/>
        </w:rPr>
        <w:t>patients meet</w:t>
      </w:r>
      <w:r>
        <w:rPr>
          <w:rFonts w:eastAsia="Calibri"/>
          <w:lang w:eastAsia="en-NZ"/>
        </w:rPr>
        <w:t xml:space="preserve"> the</w:t>
      </w:r>
      <w:r w:rsidRPr="007F36E4">
        <w:rPr>
          <w:rFonts w:eastAsia="Calibri"/>
          <w:lang w:eastAsia="en-NZ"/>
        </w:rPr>
        <w:t xml:space="preserve"> standard.</w:t>
      </w:r>
    </w:p>
    <w:p w:rsidR="00CA5250" w:rsidRPr="007F36E4" w:rsidRDefault="00CA5250" w:rsidP="00CA5250">
      <w:pPr>
        <w:rPr>
          <w:rFonts w:eastAsia="Calibri"/>
          <w:lang w:eastAsia="en-NZ"/>
        </w:rPr>
      </w:pPr>
      <w:r w:rsidRPr="007F36E4">
        <w:rPr>
          <w:rFonts w:eastAsia="Calibri"/>
          <w:lang w:eastAsia="en-NZ"/>
        </w:rPr>
        <w:t>The tolerance within this target is designed to account for factors of patient choice and patients unable to undergo CT due to comorbidities.</w:t>
      </w:r>
    </w:p>
    <w:p w:rsidR="00CA5250" w:rsidRPr="007F36E4" w:rsidRDefault="00CA5250" w:rsidP="00CA5250">
      <w:pPr>
        <w:pStyle w:val="Heading3"/>
        <w:rPr>
          <w:rFonts w:eastAsia="Calibri"/>
        </w:rPr>
      </w:pPr>
      <w:r w:rsidRPr="007F36E4">
        <w:rPr>
          <w:rFonts w:eastAsia="Calibri"/>
        </w:rPr>
        <w:t>Monitoring requirement</w:t>
      </w:r>
    </w:p>
    <w:p w:rsidR="00CA5250" w:rsidRPr="007F36E4" w:rsidRDefault="00CA5250" w:rsidP="00CA5250">
      <w:pPr>
        <w:rPr>
          <w:rFonts w:eastAsia="Calibri"/>
        </w:rPr>
      </w:pPr>
      <w:r>
        <w:rPr>
          <w:rFonts w:eastAsia="Calibri"/>
        </w:rPr>
        <w:t>Six-monthly report to regional cancer network and regional lung cancer work group.</w:t>
      </w:r>
    </w:p>
    <w:p w:rsidR="00E7569B" w:rsidRDefault="00E7569B" w:rsidP="00CA5250">
      <w:pPr>
        <w:rPr>
          <w:rFonts w:eastAsia="Calibri"/>
        </w:rPr>
      </w:pPr>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CA5250" w:rsidTr="003A0A33">
        <w:trPr>
          <w:cantSplit/>
        </w:trPr>
        <w:tc>
          <w:tcPr>
            <w:tcW w:w="1843" w:type="dxa"/>
            <w:shd w:val="clear" w:color="auto" w:fill="auto"/>
          </w:tcPr>
          <w:p w:rsidR="00CA5250" w:rsidRPr="00640EE6" w:rsidRDefault="00CA5250" w:rsidP="00CA5250">
            <w:pPr>
              <w:pStyle w:val="Heading2"/>
              <w:spacing w:before="120"/>
              <w:rPr>
                <w:sz w:val="24"/>
                <w:szCs w:val="24"/>
              </w:rPr>
            </w:pPr>
            <w:bookmarkStart w:id="48" w:name="_Toc448737413"/>
            <w:r w:rsidRPr="00640EE6">
              <w:rPr>
                <w:sz w:val="24"/>
                <w:szCs w:val="24"/>
              </w:rPr>
              <w:lastRenderedPageBreak/>
              <w:t xml:space="preserve">Standard </w:t>
            </w:r>
            <w:r>
              <w:rPr>
                <w:sz w:val="24"/>
                <w:szCs w:val="24"/>
              </w:rPr>
              <w:t>4</w:t>
            </w:r>
            <w:r w:rsidRPr="00640EE6">
              <w:rPr>
                <w:sz w:val="24"/>
                <w:szCs w:val="24"/>
              </w:rPr>
              <w:t>.</w:t>
            </w:r>
            <w:r>
              <w:rPr>
                <w:sz w:val="24"/>
                <w:szCs w:val="24"/>
              </w:rPr>
              <w:t>2</w:t>
            </w:r>
            <w:bookmarkEnd w:id="48"/>
          </w:p>
        </w:tc>
        <w:tc>
          <w:tcPr>
            <w:tcW w:w="6095" w:type="dxa"/>
            <w:shd w:val="clear" w:color="auto" w:fill="auto"/>
          </w:tcPr>
          <w:p w:rsidR="00CA5250" w:rsidRPr="007F36E4" w:rsidRDefault="00CA5250" w:rsidP="00CA5250">
            <w:pPr>
              <w:pStyle w:val="TableText"/>
              <w:keepNext/>
              <w:rPr>
                <w:rFonts w:eastAsia="Calibri" w:cs="Arial"/>
                <w:szCs w:val="22"/>
                <w:lang w:eastAsia="en-NZ"/>
              </w:rPr>
            </w:pPr>
            <w:r w:rsidRPr="00321874">
              <w:rPr>
                <w:rFonts w:eastAsia="Calibri"/>
              </w:rPr>
              <w:t xml:space="preserve">All </w:t>
            </w:r>
            <w:r>
              <w:rPr>
                <w:rFonts w:eastAsia="Calibri"/>
              </w:rPr>
              <w:t>patients</w:t>
            </w:r>
            <w:r w:rsidRPr="00321874">
              <w:rPr>
                <w:rFonts w:eastAsia="Calibri"/>
              </w:rPr>
              <w:t xml:space="preserve"> should have timely access to EBUS.</w:t>
            </w:r>
          </w:p>
        </w:tc>
      </w:tr>
    </w:tbl>
    <w:p w:rsidR="00CA5250" w:rsidRPr="007F36E4" w:rsidRDefault="00CA5250" w:rsidP="00CA5250">
      <w:pPr>
        <w:pStyle w:val="Heading3"/>
        <w:rPr>
          <w:rFonts w:eastAsia="Calibri"/>
          <w:lang w:eastAsia="en-NZ"/>
        </w:rPr>
      </w:pPr>
      <w:r>
        <w:rPr>
          <w:rFonts w:eastAsia="Calibri"/>
          <w:lang w:eastAsia="en-NZ"/>
        </w:rPr>
        <w:t>Rationale</w:t>
      </w:r>
    </w:p>
    <w:p w:rsidR="00CA5250" w:rsidRPr="007F36E4" w:rsidRDefault="00CA5250" w:rsidP="00CA5250">
      <w:pPr>
        <w:keepNext/>
        <w:rPr>
          <w:rFonts w:eastAsia="Calibri"/>
          <w:lang w:eastAsia="en-NZ"/>
        </w:rPr>
      </w:pPr>
      <w:r w:rsidRPr="00B04D1D">
        <w:rPr>
          <w:rFonts w:eastAsia="Calibri"/>
          <w:lang w:eastAsia="en-NZ"/>
        </w:rPr>
        <w:t>Successful treatment of lung cancer depends on the accurate diagnosis and staging of the lung cancer</w:t>
      </w:r>
      <w:r>
        <w:rPr>
          <w:rFonts w:eastAsia="Calibri"/>
          <w:lang w:eastAsia="en-NZ"/>
        </w:rPr>
        <w:t>; EBUS facilitates this</w:t>
      </w:r>
      <w:r w:rsidRPr="00B04D1D">
        <w:rPr>
          <w:rFonts w:eastAsia="Calibri"/>
          <w:lang w:eastAsia="en-NZ"/>
        </w:rPr>
        <w:t>.</w:t>
      </w:r>
    </w:p>
    <w:p w:rsidR="00CA5250" w:rsidRPr="009337F8" w:rsidRDefault="00CA5250" w:rsidP="00CA5250">
      <w:pPr>
        <w:pStyle w:val="Heading3"/>
        <w:rPr>
          <w:rFonts w:eastAsia="Calibri"/>
          <w:lang w:eastAsia="en-NZ"/>
        </w:rPr>
      </w:pPr>
      <w:r>
        <w:rPr>
          <w:rFonts w:eastAsia="Calibri"/>
          <w:lang w:eastAsia="en-NZ"/>
        </w:rPr>
        <w:t>How do we measure the standard</w:t>
      </w:r>
    </w:p>
    <w:p w:rsidR="00CA5250" w:rsidRPr="007F36E4" w:rsidRDefault="00CA5250" w:rsidP="00CA5250">
      <w:pPr>
        <w:keepNext/>
        <w:rPr>
          <w:rFonts w:eastAsia="Calibri"/>
          <w:lang w:eastAsia="en-NZ"/>
        </w:rPr>
      </w:pPr>
      <w:r w:rsidRPr="007F36E4">
        <w:rPr>
          <w:rFonts w:eastAsia="Calibri"/>
          <w:b/>
          <w:lang w:eastAsia="en-NZ"/>
        </w:rPr>
        <w:t xml:space="preserve">Numerator: </w:t>
      </w:r>
      <w:r w:rsidRPr="007F36E4">
        <w:rPr>
          <w:rFonts w:eastAsia="Calibri"/>
          <w:lang w:eastAsia="en-NZ"/>
        </w:rPr>
        <w:t xml:space="preserve">Number of patients with lung cancer who had </w:t>
      </w:r>
      <w:r>
        <w:rPr>
          <w:rFonts w:eastAsia="Calibri"/>
          <w:lang w:eastAsia="en-NZ"/>
        </w:rPr>
        <w:t xml:space="preserve">an </w:t>
      </w:r>
      <w:r w:rsidRPr="007F36E4">
        <w:rPr>
          <w:rFonts w:eastAsia="Calibri"/>
          <w:lang w:eastAsia="en-NZ"/>
        </w:rPr>
        <w:t xml:space="preserve">EBUS within </w:t>
      </w:r>
      <w:r>
        <w:rPr>
          <w:rFonts w:eastAsia="Calibri"/>
          <w:lang w:eastAsia="en-NZ"/>
        </w:rPr>
        <w:t>seven</w:t>
      </w:r>
      <w:r w:rsidRPr="007F36E4">
        <w:rPr>
          <w:rFonts w:eastAsia="Calibri"/>
          <w:lang w:eastAsia="en-NZ"/>
        </w:rPr>
        <w:t xml:space="preserve"> days of</w:t>
      </w:r>
      <w:r>
        <w:rPr>
          <w:rFonts w:eastAsia="Calibri"/>
          <w:lang w:eastAsia="en-NZ"/>
        </w:rPr>
        <w:t xml:space="preserve"> receipt of</w:t>
      </w:r>
      <w:r w:rsidRPr="007F36E4">
        <w:rPr>
          <w:rFonts w:eastAsia="Calibri"/>
          <w:lang w:eastAsia="en-NZ"/>
        </w:rPr>
        <w:t xml:space="preserve"> referral</w:t>
      </w:r>
      <w:r>
        <w:rPr>
          <w:rFonts w:eastAsia="Calibri"/>
          <w:lang w:eastAsia="en-NZ"/>
        </w:rPr>
        <w:t>.</w:t>
      </w:r>
    </w:p>
    <w:p w:rsidR="00CA5250" w:rsidRPr="00CA5250" w:rsidRDefault="00CA5250" w:rsidP="00CA5250">
      <w:pPr>
        <w:keepNext/>
        <w:rPr>
          <w:rFonts w:eastAsia="Calibri"/>
        </w:rPr>
      </w:pPr>
      <w:r w:rsidRPr="007F36E4">
        <w:rPr>
          <w:rFonts w:eastAsia="Calibri"/>
          <w:b/>
          <w:bCs/>
          <w:lang w:eastAsia="en-NZ"/>
        </w:rPr>
        <w:t xml:space="preserve">Denominator: </w:t>
      </w:r>
      <w:r w:rsidRPr="007F36E4">
        <w:rPr>
          <w:rFonts w:eastAsia="Calibri"/>
          <w:lang w:eastAsia="en-NZ"/>
        </w:rPr>
        <w:t>All patients with lung cancer who had an EBUS</w:t>
      </w:r>
      <w:r>
        <w:rPr>
          <w:rFonts w:eastAsia="Calibri"/>
          <w:lang w:eastAsia="en-NZ"/>
        </w:rPr>
        <w:t>.</w:t>
      </w:r>
    </w:p>
    <w:p w:rsidR="00CA5250" w:rsidRPr="007F36E4" w:rsidRDefault="00CA5250" w:rsidP="00CA5250">
      <w:pPr>
        <w:pStyle w:val="Heading3"/>
        <w:rPr>
          <w:rFonts w:eastAsia="Calibri"/>
        </w:rPr>
      </w:pPr>
      <w:r>
        <w:rPr>
          <w:rFonts w:eastAsia="Calibri"/>
          <w:lang w:eastAsia="en-NZ"/>
        </w:rPr>
        <w:t>Target</w:t>
      </w:r>
    </w:p>
    <w:p w:rsidR="00CA5250" w:rsidRPr="007F36E4" w:rsidRDefault="00CA5250" w:rsidP="00CA5250">
      <w:pPr>
        <w:rPr>
          <w:rFonts w:eastAsia="Calibri"/>
          <w:lang w:eastAsia="en-NZ"/>
        </w:rPr>
      </w:pPr>
      <w:r w:rsidRPr="007F36E4">
        <w:rPr>
          <w:rFonts w:eastAsia="Calibri"/>
          <w:lang w:eastAsia="en-NZ"/>
        </w:rPr>
        <w:t>95</w:t>
      </w:r>
      <w:r>
        <w:rPr>
          <w:rFonts w:eastAsia="Calibri"/>
          <w:lang w:eastAsia="en-NZ"/>
        </w:rPr>
        <w:t xml:space="preserve"> percent</w:t>
      </w:r>
      <w:r w:rsidRPr="007F36E4">
        <w:rPr>
          <w:rFonts w:eastAsia="Calibri"/>
          <w:lang w:eastAsia="en-NZ"/>
        </w:rPr>
        <w:t xml:space="preserve"> </w:t>
      </w:r>
      <w:r>
        <w:rPr>
          <w:rFonts w:eastAsia="Calibri"/>
          <w:lang w:eastAsia="en-NZ"/>
        </w:rPr>
        <w:t>of patients meet the standard.</w:t>
      </w:r>
    </w:p>
    <w:p w:rsidR="00CA5250" w:rsidRPr="007F36E4" w:rsidRDefault="00CA5250" w:rsidP="00CA5250">
      <w:pPr>
        <w:pStyle w:val="Heading3"/>
        <w:rPr>
          <w:rFonts w:eastAsia="Calibri"/>
        </w:rPr>
      </w:pPr>
      <w:r w:rsidRPr="007F36E4">
        <w:rPr>
          <w:rFonts w:eastAsia="Calibri"/>
        </w:rPr>
        <w:t>Monitoring requirement</w:t>
      </w:r>
    </w:p>
    <w:p w:rsidR="00CA5250" w:rsidRPr="007F36E4" w:rsidRDefault="00CA5250" w:rsidP="00CA5250">
      <w:pPr>
        <w:rPr>
          <w:rFonts w:eastAsia="Calibri"/>
        </w:rPr>
      </w:pPr>
      <w:r>
        <w:rPr>
          <w:rFonts w:eastAsia="Calibri"/>
        </w:rPr>
        <w:t>Six-monthly report to regional cancer network and regional lung cancer work group.</w:t>
      </w:r>
    </w:p>
    <w:p w:rsidR="00D32909" w:rsidRDefault="00D32909" w:rsidP="00B850E5"/>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CA5250" w:rsidTr="003A0A33">
        <w:trPr>
          <w:cantSplit/>
        </w:trPr>
        <w:tc>
          <w:tcPr>
            <w:tcW w:w="1843" w:type="dxa"/>
            <w:shd w:val="clear" w:color="auto" w:fill="auto"/>
          </w:tcPr>
          <w:p w:rsidR="00CA5250" w:rsidRPr="00640EE6" w:rsidRDefault="00CA5250" w:rsidP="00CA5250">
            <w:pPr>
              <w:pStyle w:val="Heading2"/>
              <w:spacing w:before="120"/>
              <w:rPr>
                <w:sz w:val="24"/>
                <w:szCs w:val="24"/>
              </w:rPr>
            </w:pPr>
            <w:bookmarkStart w:id="49" w:name="_Toc448737414"/>
            <w:r w:rsidRPr="00640EE6">
              <w:rPr>
                <w:sz w:val="24"/>
                <w:szCs w:val="24"/>
              </w:rPr>
              <w:lastRenderedPageBreak/>
              <w:t xml:space="preserve">Standard </w:t>
            </w:r>
            <w:r>
              <w:rPr>
                <w:sz w:val="24"/>
                <w:szCs w:val="24"/>
              </w:rPr>
              <w:t>4</w:t>
            </w:r>
            <w:r w:rsidRPr="00640EE6">
              <w:rPr>
                <w:sz w:val="24"/>
                <w:szCs w:val="24"/>
              </w:rPr>
              <w:t>.</w:t>
            </w:r>
            <w:r>
              <w:rPr>
                <w:sz w:val="24"/>
                <w:szCs w:val="24"/>
              </w:rPr>
              <w:t>3</w:t>
            </w:r>
            <w:bookmarkEnd w:id="49"/>
          </w:p>
        </w:tc>
        <w:tc>
          <w:tcPr>
            <w:tcW w:w="6095" w:type="dxa"/>
            <w:shd w:val="clear" w:color="auto" w:fill="auto"/>
          </w:tcPr>
          <w:p w:rsidR="00CA5250" w:rsidRPr="00DA1A93" w:rsidRDefault="00CA5250" w:rsidP="00CA5250">
            <w:pPr>
              <w:pStyle w:val="TableText"/>
              <w:keepNext/>
              <w:rPr>
                <w:rFonts w:eastAsia="Calibri"/>
              </w:rPr>
            </w:pPr>
            <w:r w:rsidRPr="00321874">
              <w:rPr>
                <w:rFonts w:eastAsia="Calibri"/>
              </w:rPr>
              <w:t xml:space="preserve">All </w:t>
            </w:r>
            <w:r>
              <w:rPr>
                <w:rFonts w:eastAsia="Calibri"/>
              </w:rPr>
              <w:t>patients</w:t>
            </w:r>
            <w:r w:rsidRPr="00321874">
              <w:rPr>
                <w:rFonts w:eastAsia="Calibri"/>
              </w:rPr>
              <w:t xml:space="preserve"> should have timely access to </w:t>
            </w:r>
            <w:r>
              <w:rPr>
                <w:rFonts w:eastAsia="Calibri"/>
              </w:rPr>
              <w:t>CT-guided biopsy.</w:t>
            </w:r>
          </w:p>
        </w:tc>
      </w:tr>
    </w:tbl>
    <w:p w:rsidR="00CA5250" w:rsidRPr="007F36E4" w:rsidRDefault="00CA5250" w:rsidP="00CA5250">
      <w:pPr>
        <w:pStyle w:val="Heading3"/>
        <w:rPr>
          <w:rFonts w:eastAsia="Calibri"/>
          <w:lang w:eastAsia="en-NZ"/>
        </w:rPr>
      </w:pPr>
      <w:r>
        <w:rPr>
          <w:rFonts w:eastAsia="Calibri"/>
          <w:lang w:eastAsia="en-NZ"/>
        </w:rPr>
        <w:t>Rationale</w:t>
      </w:r>
    </w:p>
    <w:p w:rsidR="00CA5250" w:rsidRPr="00B04D1D" w:rsidRDefault="00CA5250" w:rsidP="00CA5250">
      <w:pPr>
        <w:keepNext/>
        <w:rPr>
          <w:rFonts w:eastAsia="Calibri"/>
          <w:lang w:eastAsia="en-NZ"/>
        </w:rPr>
      </w:pPr>
      <w:r w:rsidRPr="00B04D1D">
        <w:rPr>
          <w:rFonts w:eastAsia="Calibri"/>
          <w:lang w:eastAsia="en-NZ"/>
        </w:rPr>
        <w:t>Successful treatment of lung cancer depends on the accurate diagnosis and staging of the lung cancer</w:t>
      </w:r>
      <w:r>
        <w:rPr>
          <w:rFonts w:eastAsia="Calibri"/>
          <w:lang w:eastAsia="en-NZ"/>
        </w:rPr>
        <w:t>; CT-guided biopsy facilitates this</w:t>
      </w:r>
      <w:r w:rsidRPr="00B04D1D">
        <w:rPr>
          <w:rFonts w:eastAsia="Calibri"/>
          <w:lang w:eastAsia="en-NZ"/>
        </w:rPr>
        <w:t>.</w:t>
      </w:r>
    </w:p>
    <w:p w:rsidR="00CA5250" w:rsidRPr="009337F8" w:rsidRDefault="00CA5250" w:rsidP="00CA5250">
      <w:pPr>
        <w:pStyle w:val="Heading3"/>
        <w:rPr>
          <w:rFonts w:eastAsia="Calibri"/>
          <w:lang w:eastAsia="en-NZ"/>
        </w:rPr>
      </w:pPr>
      <w:r>
        <w:rPr>
          <w:rFonts w:eastAsia="Calibri"/>
          <w:lang w:eastAsia="en-NZ"/>
        </w:rPr>
        <w:t>How do we measure the standard</w:t>
      </w:r>
    </w:p>
    <w:p w:rsidR="00CA5250" w:rsidRDefault="00CA5250" w:rsidP="00CA5250">
      <w:pPr>
        <w:keepNext/>
        <w:rPr>
          <w:rFonts w:eastAsia="Calibri"/>
          <w:lang w:eastAsia="en-NZ"/>
        </w:rPr>
      </w:pPr>
      <w:r w:rsidRPr="007F36E4">
        <w:rPr>
          <w:rFonts w:eastAsia="Calibri"/>
          <w:b/>
          <w:lang w:eastAsia="en-NZ"/>
        </w:rPr>
        <w:t xml:space="preserve">Numerator: </w:t>
      </w:r>
      <w:r w:rsidRPr="007F36E4">
        <w:rPr>
          <w:rFonts w:eastAsia="Calibri"/>
          <w:lang w:eastAsia="en-NZ"/>
        </w:rPr>
        <w:t xml:space="preserve">Number of patients with lung cancer who had </w:t>
      </w:r>
      <w:r>
        <w:rPr>
          <w:rFonts w:eastAsia="Calibri"/>
          <w:lang w:eastAsia="en-NZ"/>
        </w:rPr>
        <w:t xml:space="preserve">a CT-guided biopsy within seven </w:t>
      </w:r>
      <w:r w:rsidRPr="007F36E4">
        <w:rPr>
          <w:rFonts w:eastAsia="Calibri"/>
          <w:lang w:eastAsia="en-NZ"/>
        </w:rPr>
        <w:t>days of</w:t>
      </w:r>
      <w:r>
        <w:rPr>
          <w:rFonts w:eastAsia="Calibri"/>
          <w:lang w:eastAsia="en-NZ"/>
        </w:rPr>
        <w:t xml:space="preserve"> receipt of</w:t>
      </w:r>
      <w:r w:rsidRPr="007F36E4">
        <w:rPr>
          <w:rFonts w:eastAsia="Calibri"/>
          <w:lang w:eastAsia="en-NZ"/>
        </w:rPr>
        <w:t xml:space="preserve"> referral.</w:t>
      </w:r>
    </w:p>
    <w:p w:rsidR="00CA5250" w:rsidRPr="00DA1A93" w:rsidRDefault="00CA5250" w:rsidP="00CA5250">
      <w:pPr>
        <w:keepNext/>
        <w:rPr>
          <w:rFonts w:eastAsia="Calibri"/>
          <w:lang w:eastAsia="en-NZ"/>
        </w:rPr>
      </w:pPr>
      <w:r w:rsidRPr="007F36E4">
        <w:rPr>
          <w:rFonts w:eastAsia="Calibri"/>
          <w:b/>
          <w:bCs/>
          <w:lang w:eastAsia="en-NZ"/>
        </w:rPr>
        <w:t xml:space="preserve">Denominator: </w:t>
      </w:r>
      <w:r w:rsidRPr="007F36E4">
        <w:rPr>
          <w:rFonts w:eastAsia="Calibri"/>
          <w:lang w:eastAsia="en-NZ"/>
        </w:rPr>
        <w:t xml:space="preserve">All patients with lung cancer who had </w:t>
      </w:r>
      <w:r>
        <w:rPr>
          <w:rFonts w:eastAsia="Calibri"/>
          <w:lang w:eastAsia="en-NZ"/>
        </w:rPr>
        <w:t>a CT-guided biopsy.</w:t>
      </w:r>
    </w:p>
    <w:p w:rsidR="00CA5250" w:rsidRPr="007F36E4" w:rsidRDefault="00CA5250" w:rsidP="00CA5250">
      <w:pPr>
        <w:pStyle w:val="Heading3"/>
        <w:rPr>
          <w:rFonts w:eastAsia="Calibri"/>
        </w:rPr>
      </w:pPr>
      <w:r>
        <w:rPr>
          <w:rFonts w:eastAsia="Calibri"/>
          <w:lang w:eastAsia="en-NZ"/>
        </w:rPr>
        <w:t>Target</w:t>
      </w:r>
    </w:p>
    <w:p w:rsidR="00CA5250" w:rsidRPr="007F36E4" w:rsidRDefault="00CA5250" w:rsidP="00CA5250">
      <w:pPr>
        <w:keepNext/>
        <w:rPr>
          <w:rFonts w:eastAsia="Calibri"/>
          <w:lang w:eastAsia="en-NZ"/>
        </w:rPr>
      </w:pPr>
      <w:r w:rsidRPr="007F36E4">
        <w:rPr>
          <w:rFonts w:eastAsia="Calibri"/>
          <w:lang w:eastAsia="en-NZ"/>
        </w:rPr>
        <w:t>95</w:t>
      </w:r>
      <w:r>
        <w:rPr>
          <w:rFonts w:eastAsia="Calibri"/>
          <w:lang w:eastAsia="en-NZ"/>
        </w:rPr>
        <w:t xml:space="preserve"> percent</w:t>
      </w:r>
      <w:r w:rsidRPr="007F36E4">
        <w:rPr>
          <w:rFonts w:eastAsia="Calibri"/>
          <w:lang w:eastAsia="en-NZ"/>
        </w:rPr>
        <w:t xml:space="preserve"> </w:t>
      </w:r>
      <w:r>
        <w:rPr>
          <w:rFonts w:eastAsia="Calibri"/>
          <w:lang w:eastAsia="en-NZ"/>
        </w:rPr>
        <w:t>of patients meet the standard.</w:t>
      </w:r>
    </w:p>
    <w:p w:rsidR="00CA5250" w:rsidRPr="007F36E4" w:rsidRDefault="00CA5250" w:rsidP="00CA5250">
      <w:pPr>
        <w:pStyle w:val="Heading3"/>
        <w:rPr>
          <w:rFonts w:eastAsia="Calibri"/>
        </w:rPr>
      </w:pPr>
      <w:r w:rsidRPr="007F36E4">
        <w:rPr>
          <w:rFonts w:eastAsia="Calibri"/>
        </w:rPr>
        <w:t>Monitoring requirement</w:t>
      </w:r>
    </w:p>
    <w:p w:rsidR="00CA5250" w:rsidRPr="007F36E4" w:rsidRDefault="00CA5250" w:rsidP="00CA5250">
      <w:pPr>
        <w:rPr>
          <w:rFonts w:eastAsia="Calibri"/>
        </w:rPr>
      </w:pPr>
      <w:r>
        <w:rPr>
          <w:rFonts w:eastAsia="Calibri"/>
        </w:rPr>
        <w:t>Six-monthly report to regional cancer network and regional lung cancer work group.</w:t>
      </w:r>
    </w:p>
    <w:p w:rsidR="00C35F13" w:rsidRDefault="00C35F13" w:rsidP="00B850E5"/>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C2ADB" w:rsidTr="003A0A33">
        <w:trPr>
          <w:cantSplit/>
        </w:trPr>
        <w:tc>
          <w:tcPr>
            <w:tcW w:w="1843" w:type="dxa"/>
            <w:shd w:val="clear" w:color="auto" w:fill="auto"/>
          </w:tcPr>
          <w:p w:rsidR="00BC2ADB" w:rsidRPr="00640EE6" w:rsidRDefault="00BC2ADB" w:rsidP="00CA5250">
            <w:pPr>
              <w:pStyle w:val="Heading2"/>
              <w:spacing w:before="120"/>
              <w:rPr>
                <w:sz w:val="24"/>
                <w:szCs w:val="24"/>
              </w:rPr>
            </w:pPr>
            <w:bookmarkStart w:id="50" w:name="_Toc448737415"/>
            <w:r w:rsidRPr="00640EE6">
              <w:rPr>
                <w:sz w:val="24"/>
                <w:szCs w:val="24"/>
              </w:rPr>
              <w:lastRenderedPageBreak/>
              <w:t xml:space="preserve">Standard </w:t>
            </w:r>
            <w:r w:rsidR="00CA5250">
              <w:rPr>
                <w:sz w:val="24"/>
                <w:szCs w:val="24"/>
              </w:rPr>
              <w:t>4</w:t>
            </w:r>
            <w:r w:rsidRPr="00640EE6">
              <w:rPr>
                <w:sz w:val="24"/>
                <w:szCs w:val="24"/>
              </w:rPr>
              <w:t>.</w:t>
            </w:r>
            <w:r w:rsidR="00CA5250">
              <w:rPr>
                <w:sz w:val="24"/>
                <w:szCs w:val="24"/>
              </w:rPr>
              <w:t>4</w:t>
            </w:r>
            <w:bookmarkEnd w:id="50"/>
          </w:p>
        </w:tc>
        <w:tc>
          <w:tcPr>
            <w:tcW w:w="6095" w:type="dxa"/>
            <w:shd w:val="clear" w:color="auto" w:fill="auto"/>
          </w:tcPr>
          <w:p w:rsidR="00BC2ADB" w:rsidRPr="006E7C35" w:rsidRDefault="00CA5250" w:rsidP="00CA5250">
            <w:pPr>
              <w:pStyle w:val="TableText"/>
              <w:keepNext/>
            </w:pPr>
            <w:r w:rsidRPr="007F36E4">
              <w:rPr>
                <w:rFonts w:eastAsia="Calibri"/>
              </w:rPr>
              <w:t xml:space="preserve">PET-CT should be performed in patients with suspected or confirmed </w:t>
            </w:r>
            <w:r>
              <w:rPr>
                <w:rFonts w:eastAsia="Calibri"/>
              </w:rPr>
              <w:t xml:space="preserve">small-cell lung cancer and NSCLC </w:t>
            </w:r>
            <w:r w:rsidRPr="007F36E4">
              <w:rPr>
                <w:rFonts w:eastAsia="Calibri"/>
              </w:rPr>
              <w:t>suitable for</w:t>
            </w:r>
            <w:r>
              <w:rPr>
                <w:rFonts w:eastAsia="Calibri"/>
              </w:rPr>
              <w:t xml:space="preserve"> potentially curative treatment.</w:t>
            </w:r>
          </w:p>
        </w:tc>
      </w:tr>
    </w:tbl>
    <w:p w:rsidR="00CA5250" w:rsidRPr="007F36E4" w:rsidRDefault="00CA5250" w:rsidP="00CA5250">
      <w:pPr>
        <w:pStyle w:val="Heading3"/>
        <w:rPr>
          <w:rFonts w:eastAsia="Calibri"/>
          <w:lang w:eastAsia="en-NZ"/>
        </w:rPr>
      </w:pPr>
      <w:r>
        <w:rPr>
          <w:rFonts w:eastAsia="Calibri"/>
          <w:lang w:eastAsia="en-NZ"/>
        </w:rPr>
        <w:t>Rationale</w:t>
      </w:r>
    </w:p>
    <w:p w:rsidR="00CA5250" w:rsidRPr="001E76D7" w:rsidRDefault="00CA5250" w:rsidP="00CA5250">
      <w:pPr>
        <w:keepNext/>
        <w:rPr>
          <w:rFonts w:eastAsia="Calibri"/>
          <w:highlight w:val="yellow"/>
          <w:lang w:eastAsia="en-NZ"/>
        </w:rPr>
      </w:pPr>
      <w:r w:rsidRPr="00B04D1D">
        <w:rPr>
          <w:rFonts w:eastAsia="Calibri"/>
          <w:lang w:eastAsia="en-NZ"/>
        </w:rPr>
        <w:t>Successful treatment of lung cancer depends on the accurate diagnosis and staging of the lung cancer</w:t>
      </w:r>
      <w:r>
        <w:rPr>
          <w:rFonts w:eastAsia="Calibri"/>
          <w:lang w:eastAsia="en-NZ"/>
        </w:rPr>
        <w:t>; PET-CT facilitates this</w:t>
      </w:r>
      <w:r w:rsidRPr="00B04D1D">
        <w:rPr>
          <w:rFonts w:eastAsia="Calibri"/>
          <w:lang w:eastAsia="en-NZ"/>
        </w:rPr>
        <w:t>.</w:t>
      </w:r>
    </w:p>
    <w:p w:rsidR="00CA5250" w:rsidRPr="009337F8" w:rsidRDefault="00CA5250" w:rsidP="00CA5250">
      <w:pPr>
        <w:pStyle w:val="Heading3"/>
        <w:rPr>
          <w:rFonts w:eastAsia="Calibri"/>
          <w:lang w:eastAsia="en-NZ"/>
        </w:rPr>
      </w:pPr>
      <w:r>
        <w:rPr>
          <w:rFonts w:eastAsia="Calibri"/>
          <w:lang w:eastAsia="en-NZ"/>
        </w:rPr>
        <w:t>How do we measure the standard</w:t>
      </w:r>
    </w:p>
    <w:p w:rsidR="00CA5250" w:rsidRDefault="00CA5250" w:rsidP="00CA5250">
      <w:pPr>
        <w:keepNext/>
        <w:rPr>
          <w:rFonts w:eastAsia="Calibri"/>
          <w:lang w:eastAsia="en-NZ"/>
        </w:rPr>
      </w:pPr>
      <w:r w:rsidRPr="007F36E4">
        <w:rPr>
          <w:rFonts w:eastAsia="Calibri"/>
          <w:b/>
          <w:bCs/>
          <w:lang w:eastAsia="en-NZ"/>
        </w:rPr>
        <w:t xml:space="preserve">Numerator: </w:t>
      </w:r>
      <w:r w:rsidRPr="007F36E4">
        <w:rPr>
          <w:rFonts w:eastAsia="Calibri"/>
          <w:lang w:eastAsia="en-NZ"/>
        </w:rPr>
        <w:t>Number of pati</w:t>
      </w:r>
      <w:r>
        <w:rPr>
          <w:rFonts w:eastAsia="Calibri"/>
          <w:lang w:eastAsia="en-NZ"/>
        </w:rPr>
        <w:t xml:space="preserve">ents with lung cancer who are treated </w:t>
      </w:r>
      <w:r w:rsidRPr="007F36E4">
        <w:rPr>
          <w:rFonts w:eastAsia="Calibri"/>
          <w:lang w:eastAsia="en-NZ"/>
        </w:rPr>
        <w:t>w</w:t>
      </w:r>
      <w:r>
        <w:rPr>
          <w:rFonts w:eastAsia="Calibri"/>
          <w:lang w:eastAsia="en-NZ"/>
        </w:rPr>
        <w:t xml:space="preserve">ith curative intent (through </w:t>
      </w:r>
      <w:r w:rsidRPr="007F36E4">
        <w:rPr>
          <w:rFonts w:eastAsia="Calibri"/>
          <w:lang w:eastAsia="en-NZ"/>
        </w:rPr>
        <w:t xml:space="preserve">radical radiotherapy, radical </w:t>
      </w:r>
      <w:proofErr w:type="spellStart"/>
      <w:r w:rsidRPr="007F36E4">
        <w:rPr>
          <w:rFonts w:eastAsia="Calibri"/>
          <w:lang w:eastAsia="en-NZ"/>
        </w:rPr>
        <w:t>chemoradiotherapy</w:t>
      </w:r>
      <w:proofErr w:type="spellEnd"/>
      <w:r w:rsidRPr="007F36E4">
        <w:rPr>
          <w:rFonts w:eastAsia="Calibri"/>
          <w:lang w:eastAsia="en-NZ"/>
        </w:rPr>
        <w:t xml:space="preserve"> or surgical resection) who undergo PET</w:t>
      </w:r>
      <w:r>
        <w:rPr>
          <w:rFonts w:eastAsia="Calibri"/>
          <w:lang w:eastAsia="en-NZ"/>
        </w:rPr>
        <w:t>-</w:t>
      </w:r>
      <w:r w:rsidRPr="007F36E4">
        <w:rPr>
          <w:rFonts w:eastAsia="Calibri"/>
          <w:lang w:eastAsia="en-NZ"/>
        </w:rPr>
        <w:t xml:space="preserve">CT prior to </w:t>
      </w:r>
      <w:r>
        <w:rPr>
          <w:rFonts w:eastAsia="Calibri"/>
          <w:lang w:eastAsia="en-NZ"/>
        </w:rPr>
        <w:t xml:space="preserve">the </w:t>
      </w:r>
      <w:r w:rsidRPr="007F36E4">
        <w:rPr>
          <w:rFonts w:eastAsia="Calibri"/>
          <w:lang w:eastAsia="en-NZ"/>
        </w:rPr>
        <w:t xml:space="preserve">start of </w:t>
      </w:r>
      <w:r>
        <w:rPr>
          <w:rFonts w:eastAsia="Calibri"/>
          <w:lang w:eastAsia="en-NZ"/>
        </w:rPr>
        <w:t xml:space="preserve">their </w:t>
      </w:r>
      <w:r w:rsidRPr="007F36E4">
        <w:rPr>
          <w:rFonts w:eastAsia="Calibri"/>
          <w:lang w:eastAsia="en-NZ"/>
        </w:rPr>
        <w:t>treatment.</w:t>
      </w:r>
    </w:p>
    <w:p w:rsidR="00CA5250" w:rsidRPr="007F36E4" w:rsidRDefault="00CA5250" w:rsidP="00CA5250">
      <w:pPr>
        <w:keepNext/>
        <w:rPr>
          <w:rFonts w:eastAsia="Calibri"/>
          <w:lang w:eastAsia="en-NZ"/>
        </w:rPr>
      </w:pPr>
      <w:r w:rsidRPr="007F36E4">
        <w:rPr>
          <w:rFonts w:eastAsia="Calibri"/>
          <w:b/>
          <w:bCs/>
          <w:lang w:eastAsia="en-NZ"/>
        </w:rPr>
        <w:t xml:space="preserve">Denominator: </w:t>
      </w:r>
      <w:r w:rsidRPr="007F36E4">
        <w:rPr>
          <w:rFonts w:eastAsia="Calibri"/>
          <w:lang w:eastAsia="en-NZ"/>
        </w:rPr>
        <w:t>All patients</w:t>
      </w:r>
      <w:r>
        <w:rPr>
          <w:rFonts w:eastAsia="Calibri"/>
          <w:lang w:eastAsia="en-NZ"/>
        </w:rPr>
        <w:t xml:space="preserve"> with</w:t>
      </w:r>
      <w:r w:rsidRPr="007F36E4">
        <w:rPr>
          <w:rFonts w:eastAsia="Calibri"/>
          <w:lang w:eastAsia="en-NZ"/>
        </w:rPr>
        <w:t xml:space="preserve"> </w:t>
      </w:r>
      <w:r>
        <w:rPr>
          <w:rFonts w:eastAsia="Calibri"/>
          <w:lang w:eastAsia="en-NZ"/>
        </w:rPr>
        <w:t xml:space="preserve">lung cancer who are treated with </w:t>
      </w:r>
      <w:r w:rsidRPr="007F36E4">
        <w:rPr>
          <w:rFonts w:eastAsia="Calibri"/>
          <w:lang w:eastAsia="en-NZ"/>
        </w:rPr>
        <w:t>curative intent</w:t>
      </w:r>
      <w:r>
        <w:rPr>
          <w:rFonts w:eastAsia="Calibri"/>
          <w:lang w:eastAsia="en-NZ"/>
        </w:rPr>
        <w:t>.</w:t>
      </w:r>
    </w:p>
    <w:p w:rsidR="00CA5250" w:rsidRPr="007F36E4" w:rsidRDefault="00CA5250" w:rsidP="00CA5250">
      <w:pPr>
        <w:pStyle w:val="Heading3"/>
        <w:rPr>
          <w:rFonts w:eastAsia="Calibri"/>
        </w:rPr>
      </w:pPr>
      <w:r>
        <w:rPr>
          <w:rFonts w:eastAsia="Calibri"/>
          <w:lang w:eastAsia="en-NZ"/>
        </w:rPr>
        <w:t>Target</w:t>
      </w:r>
    </w:p>
    <w:p w:rsidR="00CA5250" w:rsidRPr="007F36E4" w:rsidRDefault="00CA5250" w:rsidP="00CA5250">
      <w:pPr>
        <w:keepNext/>
        <w:rPr>
          <w:rFonts w:eastAsia="Calibri"/>
          <w:lang w:eastAsia="en-NZ"/>
        </w:rPr>
      </w:pPr>
      <w:r w:rsidRPr="007F36E4">
        <w:rPr>
          <w:rFonts w:eastAsia="Calibri"/>
          <w:lang w:eastAsia="en-NZ"/>
        </w:rPr>
        <w:t>95</w:t>
      </w:r>
      <w:r>
        <w:rPr>
          <w:rFonts w:eastAsia="Calibri"/>
          <w:lang w:eastAsia="en-NZ"/>
        </w:rPr>
        <w:t xml:space="preserve"> percent</w:t>
      </w:r>
      <w:r w:rsidRPr="007F36E4">
        <w:rPr>
          <w:rFonts w:eastAsia="Calibri"/>
          <w:lang w:eastAsia="en-NZ"/>
        </w:rPr>
        <w:t xml:space="preserve"> </w:t>
      </w:r>
      <w:r>
        <w:rPr>
          <w:rFonts w:eastAsia="Calibri"/>
          <w:lang w:eastAsia="en-NZ"/>
        </w:rPr>
        <w:t>of patients meet the standard.</w:t>
      </w:r>
    </w:p>
    <w:p w:rsidR="00CA5250" w:rsidRPr="007F36E4" w:rsidRDefault="00CA5250" w:rsidP="00CA5250">
      <w:pPr>
        <w:pStyle w:val="Heading3"/>
        <w:rPr>
          <w:rFonts w:eastAsia="Calibri"/>
        </w:rPr>
      </w:pPr>
      <w:r w:rsidRPr="007F36E4">
        <w:rPr>
          <w:rFonts w:eastAsia="Calibri"/>
        </w:rPr>
        <w:t>Monitoring requirement</w:t>
      </w:r>
    </w:p>
    <w:p w:rsidR="00CA5250" w:rsidRDefault="00CA5250" w:rsidP="00CA5250">
      <w:pPr>
        <w:rPr>
          <w:rFonts w:eastAsia="Calibri"/>
        </w:rPr>
      </w:pPr>
      <w:proofErr w:type="gramStart"/>
      <w:r>
        <w:rPr>
          <w:rFonts w:eastAsia="Calibri"/>
        </w:rPr>
        <w:t>Six-monthly report to regional cancer networks and regional lung cancer work groups.</w:t>
      </w:r>
      <w:proofErr w:type="gramEnd"/>
    </w:p>
    <w:p w:rsidR="00CA5250" w:rsidRPr="007F36E4" w:rsidRDefault="00CA5250" w:rsidP="00CA5250">
      <w:pPr>
        <w:rPr>
          <w:rFonts w:eastAsia="Calibri"/>
        </w:rPr>
      </w:pPr>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CA5250" w:rsidRDefault="00B850E5" w:rsidP="00FC2344">
            <w:pPr>
              <w:pStyle w:val="Heading2"/>
              <w:spacing w:before="120"/>
              <w:rPr>
                <w:sz w:val="24"/>
                <w:szCs w:val="24"/>
              </w:rPr>
            </w:pPr>
            <w:bookmarkStart w:id="51" w:name="_Toc448737416"/>
            <w:bookmarkStart w:id="52" w:name="_Toc297732856"/>
            <w:bookmarkStart w:id="53" w:name="_Toc399763969"/>
            <w:r w:rsidRPr="00CA5250">
              <w:rPr>
                <w:sz w:val="24"/>
                <w:szCs w:val="24"/>
              </w:rPr>
              <w:lastRenderedPageBreak/>
              <w:t xml:space="preserve">Standard </w:t>
            </w:r>
            <w:r w:rsidR="00CA5250" w:rsidRPr="00CA5250">
              <w:rPr>
                <w:sz w:val="24"/>
                <w:szCs w:val="24"/>
              </w:rPr>
              <w:t>4</w:t>
            </w:r>
            <w:r w:rsidRPr="00CA5250">
              <w:rPr>
                <w:sz w:val="24"/>
                <w:szCs w:val="24"/>
              </w:rPr>
              <w:t>.</w:t>
            </w:r>
            <w:r w:rsidR="00CA5250" w:rsidRPr="00CA5250">
              <w:rPr>
                <w:sz w:val="24"/>
                <w:szCs w:val="24"/>
              </w:rPr>
              <w:t>5</w:t>
            </w:r>
            <w:bookmarkEnd w:id="51"/>
          </w:p>
        </w:tc>
        <w:tc>
          <w:tcPr>
            <w:tcW w:w="6095" w:type="dxa"/>
            <w:shd w:val="clear" w:color="auto" w:fill="auto"/>
          </w:tcPr>
          <w:p w:rsidR="00B850E5" w:rsidRPr="006E7C35" w:rsidRDefault="00CA5250" w:rsidP="00FC2344">
            <w:pPr>
              <w:pStyle w:val="TableText"/>
              <w:keepNext/>
            </w:pPr>
            <w:r>
              <w:rPr>
                <w:rFonts w:eastAsia="Calibri"/>
              </w:rPr>
              <w:t>All lung cancer patients should have timely access to appropriate molecular testing.</w:t>
            </w:r>
          </w:p>
        </w:tc>
      </w:tr>
    </w:tbl>
    <w:p w:rsidR="00CA5250" w:rsidRPr="007F36E4" w:rsidRDefault="00CA5250" w:rsidP="00CA5250">
      <w:pPr>
        <w:pStyle w:val="Heading3"/>
        <w:rPr>
          <w:rFonts w:eastAsia="Calibri"/>
          <w:lang w:eastAsia="en-NZ"/>
        </w:rPr>
      </w:pPr>
      <w:r>
        <w:rPr>
          <w:rFonts w:eastAsia="Calibri"/>
          <w:lang w:eastAsia="en-NZ"/>
        </w:rPr>
        <w:t>Rationale</w:t>
      </w:r>
    </w:p>
    <w:p w:rsidR="00CA5250" w:rsidRPr="007F36E4" w:rsidRDefault="00CA5250" w:rsidP="00CA5250">
      <w:pPr>
        <w:keepNext/>
        <w:rPr>
          <w:rFonts w:eastAsia="Calibri"/>
          <w:lang w:eastAsia="en-NZ"/>
        </w:rPr>
      </w:pPr>
      <w:r w:rsidRPr="00F178EA">
        <w:rPr>
          <w:rFonts w:eastAsia="Calibri"/>
          <w:lang w:eastAsia="en-NZ"/>
        </w:rPr>
        <w:t>Patients with incurable lung cancer whose tumours have targetable oncogenic mutations (</w:t>
      </w:r>
      <w:proofErr w:type="spellStart"/>
      <w:r>
        <w:rPr>
          <w:rFonts w:eastAsia="Calibri"/>
          <w:lang w:eastAsia="en-NZ"/>
        </w:rPr>
        <w:t>eg</w:t>
      </w:r>
      <w:proofErr w:type="spellEnd"/>
      <w:r>
        <w:rPr>
          <w:rFonts w:eastAsia="Calibri"/>
          <w:lang w:eastAsia="en-NZ"/>
        </w:rPr>
        <w:t>,</w:t>
      </w:r>
      <w:r w:rsidRPr="00F178EA">
        <w:rPr>
          <w:rFonts w:eastAsia="Calibri"/>
          <w:lang w:eastAsia="en-NZ"/>
        </w:rPr>
        <w:t xml:space="preserve"> activating mutations of the </w:t>
      </w:r>
      <w:r>
        <w:rPr>
          <w:rFonts w:eastAsia="Calibri"/>
          <w:lang w:eastAsia="en-NZ"/>
        </w:rPr>
        <w:t>epidermal growth factor receptor gene (</w:t>
      </w:r>
      <w:r w:rsidRPr="00F178EA">
        <w:rPr>
          <w:rFonts w:eastAsia="Calibri"/>
          <w:lang w:eastAsia="en-NZ"/>
        </w:rPr>
        <w:t>EGFR</w:t>
      </w:r>
      <w:r>
        <w:rPr>
          <w:rFonts w:eastAsia="Calibri"/>
          <w:lang w:eastAsia="en-NZ"/>
        </w:rPr>
        <w:t>)</w:t>
      </w:r>
      <w:r w:rsidRPr="00F178EA">
        <w:rPr>
          <w:rFonts w:eastAsia="Calibri"/>
          <w:lang w:eastAsia="en-NZ"/>
        </w:rPr>
        <w:t xml:space="preserve"> or rearrangements</w:t>
      </w:r>
      <w:r>
        <w:rPr>
          <w:rFonts w:eastAsia="Calibri"/>
          <w:lang w:eastAsia="en-NZ"/>
        </w:rPr>
        <w:t xml:space="preserve"> of anaplastic lymphoma kinase</w:t>
      </w:r>
      <w:r w:rsidRPr="00F178EA">
        <w:rPr>
          <w:rFonts w:eastAsia="Calibri"/>
          <w:lang w:eastAsia="en-NZ"/>
        </w:rPr>
        <w:t xml:space="preserve"> </w:t>
      </w:r>
      <w:r>
        <w:rPr>
          <w:rFonts w:eastAsia="Calibri"/>
          <w:lang w:eastAsia="en-NZ"/>
        </w:rPr>
        <w:t>(</w:t>
      </w:r>
      <w:r w:rsidRPr="00F178EA">
        <w:rPr>
          <w:rFonts w:eastAsia="Calibri"/>
          <w:lang w:eastAsia="en-NZ"/>
        </w:rPr>
        <w:t>ALK)</w:t>
      </w:r>
      <w:r>
        <w:rPr>
          <w:rFonts w:eastAsia="Calibri"/>
          <w:lang w:eastAsia="en-NZ"/>
        </w:rPr>
        <w:t>)</w:t>
      </w:r>
      <w:r w:rsidRPr="00F178EA">
        <w:rPr>
          <w:rFonts w:eastAsia="Calibri"/>
          <w:lang w:eastAsia="en-NZ"/>
        </w:rPr>
        <w:t xml:space="preserve"> </w:t>
      </w:r>
      <w:r>
        <w:rPr>
          <w:rFonts w:eastAsia="Calibri"/>
          <w:lang w:eastAsia="en-NZ"/>
        </w:rPr>
        <w:t>experience</w:t>
      </w:r>
      <w:r w:rsidRPr="00F178EA">
        <w:rPr>
          <w:rFonts w:eastAsia="Calibri"/>
          <w:lang w:eastAsia="en-NZ"/>
        </w:rPr>
        <w:t xml:space="preserve"> the best outcomes when treated with targeted therapies. The presence or absence of mutations cannot be determined by demographic features</w:t>
      </w:r>
      <w:r>
        <w:rPr>
          <w:rFonts w:eastAsia="Calibri"/>
          <w:lang w:eastAsia="en-NZ"/>
        </w:rPr>
        <w:t>,</w:t>
      </w:r>
      <w:r w:rsidRPr="00F178EA">
        <w:rPr>
          <w:rFonts w:eastAsia="Calibri"/>
          <w:lang w:eastAsia="en-NZ"/>
        </w:rPr>
        <w:t xml:space="preserve"> but only through molecular analysis of tumour tissue.</w:t>
      </w:r>
    </w:p>
    <w:p w:rsidR="00CA5250" w:rsidRPr="00653790" w:rsidRDefault="00CA5250" w:rsidP="00CA5250">
      <w:pPr>
        <w:pStyle w:val="Heading3"/>
        <w:rPr>
          <w:rFonts w:eastAsia="Calibri"/>
          <w:lang w:eastAsia="en-NZ"/>
        </w:rPr>
      </w:pPr>
      <w:r>
        <w:rPr>
          <w:rFonts w:eastAsia="Calibri"/>
          <w:lang w:eastAsia="en-NZ"/>
        </w:rPr>
        <w:t>Specifications</w:t>
      </w:r>
    </w:p>
    <w:p w:rsidR="00CA5250" w:rsidRPr="00CA5250" w:rsidRDefault="00CA5250" w:rsidP="00CA5250">
      <w:pPr>
        <w:keepNext/>
        <w:rPr>
          <w:rFonts w:eastAsia="Calibri"/>
        </w:rPr>
      </w:pPr>
      <w:r w:rsidRPr="00FF110B">
        <w:rPr>
          <w:rFonts w:eastAsia="Calibri"/>
          <w:b/>
          <w:lang w:eastAsia="en-NZ"/>
        </w:rPr>
        <w:t>Numerator:</w:t>
      </w:r>
      <w:r w:rsidRPr="00F178EA">
        <w:rPr>
          <w:rFonts w:eastAsia="Calibri"/>
          <w:lang w:eastAsia="en-NZ"/>
        </w:rPr>
        <w:t xml:space="preserve"> Patients with a new diagnosis of incurable non</w:t>
      </w:r>
      <w:r>
        <w:rPr>
          <w:rFonts w:eastAsia="Calibri"/>
          <w:lang w:eastAsia="en-NZ"/>
        </w:rPr>
        <w:t>-</w:t>
      </w:r>
      <w:r w:rsidRPr="00F178EA">
        <w:rPr>
          <w:rFonts w:eastAsia="Calibri"/>
          <w:lang w:eastAsia="en-NZ"/>
        </w:rPr>
        <w:t>squamous NSCLC</w:t>
      </w:r>
      <w:r>
        <w:rPr>
          <w:rFonts w:eastAsia="Calibri"/>
          <w:lang w:eastAsia="en-NZ"/>
        </w:rPr>
        <w:t xml:space="preserve"> who had</w:t>
      </w:r>
      <w:r w:rsidRPr="00F178EA">
        <w:rPr>
          <w:rFonts w:eastAsia="Calibri"/>
          <w:lang w:eastAsia="en-NZ"/>
        </w:rPr>
        <w:t xml:space="preserve"> molecular testing of their tumour for EGFR mutation</w:t>
      </w:r>
      <w:r w:rsidRPr="00CA5250">
        <w:rPr>
          <w:rFonts w:eastAsia="Calibri"/>
        </w:rPr>
        <w:t>.</w:t>
      </w:r>
    </w:p>
    <w:p w:rsidR="00CA5250" w:rsidRPr="00956360" w:rsidRDefault="00CA5250" w:rsidP="00CA5250">
      <w:pPr>
        <w:rPr>
          <w:rFonts w:eastAsia="Calibri"/>
          <w:lang w:eastAsia="en-NZ"/>
        </w:rPr>
      </w:pPr>
      <w:r w:rsidRPr="00FF110B">
        <w:rPr>
          <w:rFonts w:eastAsia="Calibri"/>
          <w:b/>
          <w:lang w:eastAsia="en-NZ"/>
        </w:rPr>
        <w:t>Denominator:</w:t>
      </w:r>
      <w:r w:rsidRPr="00F178EA">
        <w:rPr>
          <w:rFonts w:eastAsia="Calibri"/>
          <w:lang w:eastAsia="en-NZ"/>
        </w:rPr>
        <w:t xml:space="preserve"> All patients with a new diagnosis of incurable non</w:t>
      </w:r>
      <w:r>
        <w:rPr>
          <w:rFonts w:eastAsia="Calibri"/>
          <w:lang w:eastAsia="en-NZ"/>
        </w:rPr>
        <w:t>-</w:t>
      </w:r>
      <w:r w:rsidRPr="00F178EA">
        <w:rPr>
          <w:rFonts w:eastAsia="Calibri"/>
          <w:lang w:eastAsia="en-NZ"/>
        </w:rPr>
        <w:t>squamous NSCLC</w:t>
      </w:r>
      <w:r>
        <w:rPr>
          <w:rFonts w:eastAsia="Calibri"/>
          <w:lang w:eastAsia="en-NZ"/>
        </w:rPr>
        <w:t>.</w:t>
      </w:r>
    </w:p>
    <w:p w:rsidR="00CA5250" w:rsidRPr="007F36E4" w:rsidRDefault="00CA5250" w:rsidP="00CA5250">
      <w:pPr>
        <w:pStyle w:val="Heading3"/>
        <w:rPr>
          <w:rFonts w:eastAsia="Calibri"/>
        </w:rPr>
      </w:pPr>
      <w:r>
        <w:rPr>
          <w:rFonts w:eastAsia="Calibri"/>
          <w:lang w:eastAsia="en-NZ"/>
        </w:rPr>
        <w:t>Target</w:t>
      </w:r>
    </w:p>
    <w:p w:rsidR="00CA5250" w:rsidRPr="007F36E4" w:rsidRDefault="00CA5250" w:rsidP="00CA5250">
      <w:pPr>
        <w:rPr>
          <w:rFonts w:eastAsia="Calibri"/>
          <w:lang w:eastAsia="en-NZ"/>
        </w:rPr>
      </w:pPr>
      <w:r>
        <w:rPr>
          <w:rFonts w:eastAsia="Calibri"/>
          <w:lang w:eastAsia="en-NZ"/>
        </w:rPr>
        <w:t>95 percent of patients meet the standard.</w:t>
      </w:r>
    </w:p>
    <w:p w:rsidR="00CA5250" w:rsidRPr="007F36E4" w:rsidRDefault="00CA5250" w:rsidP="00CA5250">
      <w:pPr>
        <w:pStyle w:val="Heading3"/>
        <w:rPr>
          <w:rFonts w:eastAsia="Calibri"/>
        </w:rPr>
      </w:pPr>
      <w:r w:rsidRPr="007F36E4">
        <w:rPr>
          <w:rFonts w:eastAsia="Calibri"/>
        </w:rPr>
        <w:t>Monitoring requirement</w:t>
      </w:r>
    </w:p>
    <w:p w:rsidR="00CA5250" w:rsidRPr="007F36E4" w:rsidRDefault="00CA5250" w:rsidP="00CA5250">
      <w:pPr>
        <w:rPr>
          <w:rFonts w:eastAsia="Calibri"/>
        </w:rPr>
      </w:pPr>
      <w:r w:rsidRPr="004E699A">
        <w:rPr>
          <w:rFonts w:eastAsia="Calibri"/>
        </w:rPr>
        <w:t>Six</w:t>
      </w:r>
      <w:r>
        <w:rPr>
          <w:rFonts w:eastAsia="Calibri"/>
        </w:rPr>
        <w:t>-</w:t>
      </w:r>
      <w:r w:rsidRPr="004E699A">
        <w:rPr>
          <w:rFonts w:eastAsia="Calibri"/>
        </w:rPr>
        <w:t>monthly report</w:t>
      </w:r>
      <w:r>
        <w:rPr>
          <w:rFonts w:eastAsia="Calibri"/>
        </w:rPr>
        <w:t xml:space="preserve"> to regional cancer network and regional lung cancer work group.</w:t>
      </w:r>
    </w:p>
    <w:p w:rsidR="00D52308" w:rsidRDefault="00D52308" w:rsidP="00B850E5">
      <w:pPr>
        <w:rPr>
          <w:highlight w:val="yellow"/>
        </w:rPr>
      </w:pPr>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CA5250" w:rsidRDefault="00B850E5" w:rsidP="00CA5250">
            <w:pPr>
              <w:pStyle w:val="Heading2"/>
              <w:spacing w:before="120"/>
              <w:rPr>
                <w:sz w:val="24"/>
                <w:szCs w:val="24"/>
              </w:rPr>
            </w:pPr>
            <w:bookmarkStart w:id="54" w:name="_Toc448737417"/>
            <w:r w:rsidRPr="00CA5250">
              <w:rPr>
                <w:sz w:val="24"/>
                <w:szCs w:val="24"/>
              </w:rPr>
              <w:lastRenderedPageBreak/>
              <w:t xml:space="preserve">Standard </w:t>
            </w:r>
            <w:r w:rsidR="00CA5250" w:rsidRPr="00CA5250">
              <w:rPr>
                <w:sz w:val="24"/>
                <w:szCs w:val="24"/>
              </w:rPr>
              <w:t>4</w:t>
            </w:r>
            <w:r w:rsidRPr="00CA5250">
              <w:rPr>
                <w:sz w:val="24"/>
                <w:szCs w:val="24"/>
              </w:rPr>
              <w:t>.</w:t>
            </w:r>
            <w:r w:rsidR="00CA5250" w:rsidRPr="00CA5250">
              <w:rPr>
                <w:sz w:val="24"/>
                <w:szCs w:val="24"/>
              </w:rPr>
              <w:t>6</w:t>
            </w:r>
            <w:bookmarkEnd w:id="54"/>
          </w:p>
        </w:tc>
        <w:tc>
          <w:tcPr>
            <w:tcW w:w="6095" w:type="dxa"/>
            <w:shd w:val="clear" w:color="auto" w:fill="auto"/>
          </w:tcPr>
          <w:p w:rsidR="00B850E5" w:rsidRPr="006E7C35" w:rsidRDefault="00CA5250" w:rsidP="00CA5250">
            <w:pPr>
              <w:pStyle w:val="TableText"/>
              <w:keepNext/>
            </w:pPr>
            <w:r>
              <w:rPr>
                <w:rFonts w:eastAsia="Calibri"/>
              </w:rPr>
              <w:t>Reports and recommendations</w:t>
            </w:r>
            <w:r w:rsidRPr="00401CEB">
              <w:rPr>
                <w:rFonts w:eastAsia="Calibri"/>
              </w:rPr>
              <w:t xml:space="preserve"> regarding key interventions </w:t>
            </w:r>
            <w:r>
              <w:rPr>
                <w:rFonts w:eastAsia="Calibri"/>
              </w:rPr>
              <w:t>(</w:t>
            </w:r>
            <w:proofErr w:type="spellStart"/>
            <w:r>
              <w:rPr>
                <w:rFonts w:eastAsia="Calibri"/>
              </w:rPr>
              <w:t>eg</w:t>
            </w:r>
            <w:proofErr w:type="spellEnd"/>
            <w:r>
              <w:rPr>
                <w:rFonts w:eastAsia="Calibri"/>
              </w:rPr>
              <w:t>,</w:t>
            </w:r>
            <w:r w:rsidRPr="00401CEB">
              <w:rPr>
                <w:rFonts w:eastAsia="Calibri"/>
              </w:rPr>
              <w:t xml:space="preserve"> radiology investigations </w:t>
            </w:r>
            <w:r>
              <w:rPr>
                <w:rFonts w:eastAsia="Calibri"/>
              </w:rPr>
              <w:t xml:space="preserve">and </w:t>
            </w:r>
            <w:r w:rsidRPr="00401CEB">
              <w:rPr>
                <w:rFonts w:eastAsia="Calibri"/>
              </w:rPr>
              <w:t>pathology tests</w:t>
            </w:r>
            <w:r>
              <w:rPr>
                <w:rFonts w:eastAsia="Calibri"/>
              </w:rPr>
              <w:t>)</w:t>
            </w:r>
            <w:r w:rsidRPr="00401CEB">
              <w:rPr>
                <w:rFonts w:eastAsia="Calibri"/>
              </w:rPr>
              <w:t xml:space="preserve"> </w:t>
            </w:r>
            <w:r>
              <w:rPr>
                <w:rFonts w:eastAsia="Calibri"/>
              </w:rPr>
              <w:t xml:space="preserve">should be </w:t>
            </w:r>
            <w:r w:rsidRPr="00401CEB">
              <w:rPr>
                <w:rFonts w:eastAsia="Calibri"/>
              </w:rPr>
              <w:t xml:space="preserve">communicated to the </w:t>
            </w:r>
            <w:r>
              <w:rPr>
                <w:rFonts w:eastAsia="Calibri"/>
              </w:rPr>
              <w:t xml:space="preserve">appropriate member of the </w:t>
            </w:r>
            <w:r w:rsidRPr="00401CEB">
              <w:rPr>
                <w:rFonts w:eastAsia="Calibri"/>
              </w:rPr>
              <w:t>lung cancer team</w:t>
            </w:r>
            <w:r>
              <w:rPr>
                <w:rFonts w:eastAsia="Calibri"/>
              </w:rPr>
              <w:t xml:space="preserve"> (usually referring clinician)</w:t>
            </w:r>
            <w:r w:rsidRPr="00401CEB">
              <w:rPr>
                <w:rFonts w:eastAsia="Calibri"/>
              </w:rPr>
              <w:t xml:space="preserve"> </w:t>
            </w:r>
            <w:r w:rsidRPr="00FB60E9">
              <w:rPr>
                <w:rFonts w:eastAsia="Calibri"/>
              </w:rPr>
              <w:t>within</w:t>
            </w:r>
            <w:r w:rsidRPr="00401CEB">
              <w:rPr>
                <w:rFonts w:eastAsia="Calibri"/>
              </w:rPr>
              <w:t xml:space="preserve"> </w:t>
            </w:r>
            <w:r>
              <w:rPr>
                <w:rFonts w:eastAsia="Calibri"/>
              </w:rPr>
              <w:t xml:space="preserve">seven </w:t>
            </w:r>
            <w:r w:rsidRPr="00401CEB">
              <w:rPr>
                <w:rFonts w:eastAsia="Calibri"/>
              </w:rPr>
              <w:t>days</w:t>
            </w:r>
            <w:r>
              <w:rPr>
                <w:rFonts w:eastAsia="Calibri"/>
              </w:rPr>
              <w:t xml:space="preserve"> of the intervention</w:t>
            </w:r>
            <w:r w:rsidRPr="00401CEB">
              <w:rPr>
                <w:rFonts w:eastAsia="Calibri"/>
              </w:rPr>
              <w:t>.</w:t>
            </w:r>
          </w:p>
        </w:tc>
      </w:tr>
    </w:tbl>
    <w:p w:rsidR="00CA5250" w:rsidRPr="007F36E4" w:rsidRDefault="00CA5250" w:rsidP="00CA5250">
      <w:pPr>
        <w:pStyle w:val="Heading3"/>
        <w:rPr>
          <w:rFonts w:eastAsia="Calibri"/>
          <w:lang w:eastAsia="en-NZ"/>
        </w:rPr>
      </w:pPr>
      <w:r>
        <w:rPr>
          <w:rFonts w:eastAsia="Calibri"/>
          <w:lang w:eastAsia="en-NZ"/>
        </w:rPr>
        <w:t>Rationale</w:t>
      </w:r>
    </w:p>
    <w:p w:rsidR="00CA5250" w:rsidRDefault="00CA5250" w:rsidP="00CA5250">
      <w:pPr>
        <w:keepNext/>
        <w:rPr>
          <w:rFonts w:eastAsia="Calibri"/>
          <w:lang w:eastAsia="en-NZ"/>
        </w:rPr>
      </w:pPr>
      <w:r>
        <w:rPr>
          <w:rFonts w:eastAsia="Calibri"/>
          <w:lang w:eastAsia="en-NZ"/>
        </w:rPr>
        <w:t>This standard promotes timely treatment.</w:t>
      </w:r>
    </w:p>
    <w:p w:rsidR="00CA5250" w:rsidRDefault="00CA5250" w:rsidP="00CA5250">
      <w:pPr>
        <w:keepNext/>
        <w:rPr>
          <w:rFonts w:eastAsia="Calibri"/>
          <w:lang w:eastAsia="en-NZ"/>
        </w:rPr>
      </w:pPr>
      <w:r w:rsidRPr="004C4091">
        <w:rPr>
          <w:rFonts w:eastAsia="Calibri"/>
          <w:lang w:eastAsia="en-NZ"/>
        </w:rPr>
        <w:t xml:space="preserve">Health </w:t>
      </w:r>
      <w:r>
        <w:rPr>
          <w:rFonts w:eastAsia="Calibri"/>
          <w:lang w:eastAsia="en-NZ"/>
        </w:rPr>
        <w:t>and</w:t>
      </w:r>
      <w:r w:rsidRPr="004C4091">
        <w:rPr>
          <w:rFonts w:eastAsia="Calibri"/>
          <w:lang w:eastAsia="en-NZ"/>
        </w:rPr>
        <w:t xml:space="preserve"> Disability Service</w:t>
      </w:r>
      <w:r>
        <w:rPr>
          <w:rFonts w:eastAsia="Calibri"/>
          <w:lang w:eastAsia="en-NZ"/>
        </w:rPr>
        <w:t>s</w:t>
      </w:r>
      <w:r w:rsidRPr="004C4091">
        <w:rPr>
          <w:rFonts w:eastAsia="Calibri"/>
          <w:lang w:eastAsia="en-NZ"/>
        </w:rPr>
        <w:t xml:space="preserve"> Standard criterion 3.3.4 requires that service</w:t>
      </w:r>
      <w:r>
        <w:rPr>
          <w:rFonts w:eastAsia="Calibri"/>
          <w:lang w:eastAsia="en-NZ"/>
        </w:rPr>
        <w:t>s</w:t>
      </w:r>
      <w:r w:rsidRPr="004C4091">
        <w:rPr>
          <w:rFonts w:eastAsia="Calibri"/>
          <w:lang w:eastAsia="en-NZ"/>
        </w:rPr>
        <w:t xml:space="preserve"> </w:t>
      </w:r>
      <w:r>
        <w:rPr>
          <w:rFonts w:eastAsia="Calibri"/>
          <w:lang w:eastAsia="en-NZ"/>
        </w:rPr>
        <w:t xml:space="preserve">be </w:t>
      </w:r>
      <w:r w:rsidRPr="004C4091">
        <w:rPr>
          <w:rFonts w:eastAsia="Calibri"/>
          <w:lang w:eastAsia="en-NZ"/>
        </w:rPr>
        <w:t>coordinated in a manner that promotes continuity in service delivery and a team approach.</w:t>
      </w:r>
    </w:p>
    <w:p w:rsidR="00CA5250" w:rsidRPr="00C0773B" w:rsidRDefault="00CA5250" w:rsidP="00CA5250">
      <w:pPr>
        <w:pStyle w:val="Heading3"/>
        <w:rPr>
          <w:rFonts w:eastAsia="Calibri"/>
          <w:lang w:eastAsia="en-NZ"/>
        </w:rPr>
      </w:pPr>
      <w:r>
        <w:rPr>
          <w:rFonts w:eastAsia="Calibri"/>
          <w:lang w:eastAsia="en-NZ"/>
        </w:rPr>
        <w:t>How do we measure the standard</w:t>
      </w:r>
    </w:p>
    <w:p w:rsidR="00CA5250" w:rsidRPr="007F36E4" w:rsidRDefault="00CA5250" w:rsidP="00CA5250">
      <w:pPr>
        <w:keepNext/>
        <w:rPr>
          <w:rFonts w:eastAsia="Calibri"/>
          <w:lang w:eastAsia="en-NZ"/>
        </w:rPr>
      </w:pPr>
      <w:r>
        <w:rPr>
          <w:rFonts w:eastAsia="Calibri"/>
          <w:lang w:eastAsia="en-NZ"/>
        </w:rPr>
        <w:t>Percentage of random sample of 20 patient records with key intervention reports communicated to the lung cancer team within seven days.</w:t>
      </w:r>
    </w:p>
    <w:p w:rsidR="00CA5250" w:rsidRPr="007F36E4" w:rsidRDefault="00CA5250" w:rsidP="00CA5250">
      <w:pPr>
        <w:pStyle w:val="Heading3"/>
        <w:rPr>
          <w:rFonts w:eastAsia="Calibri"/>
        </w:rPr>
      </w:pPr>
      <w:r>
        <w:rPr>
          <w:rFonts w:eastAsia="Calibri"/>
          <w:lang w:eastAsia="en-NZ"/>
        </w:rPr>
        <w:t>Target</w:t>
      </w:r>
    </w:p>
    <w:p w:rsidR="00CA5250" w:rsidRPr="007F36E4" w:rsidRDefault="00CA5250" w:rsidP="00CA5250">
      <w:pPr>
        <w:rPr>
          <w:rFonts w:eastAsia="Calibri"/>
        </w:rPr>
      </w:pPr>
      <w:r>
        <w:rPr>
          <w:rFonts w:eastAsia="Calibri"/>
        </w:rPr>
        <w:t>95 percent of reports and recommendations meet the standard.</w:t>
      </w:r>
    </w:p>
    <w:p w:rsidR="00CA5250" w:rsidRPr="007F36E4" w:rsidRDefault="00CA5250" w:rsidP="00CA5250">
      <w:pPr>
        <w:pStyle w:val="Heading3"/>
        <w:rPr>
          <w:rFonts w:eastAsia="Calibri"/>
        </w:rPr>
      </w:pPr>
      <w:r w:rsidRPr="007F36E4">
        <w:rPr>
          <w:rFonts w:eastAsia="Calibri"/>
        </w:rPr>
        <w:t>Monitoring requirement</w:t>
      </w:r>
    </w:p>
    <w:p w:rsidR="00CA5250" w:rsidRPr="007F36E4" w:rsidRDefault="00CA5250" w:rsidP="00CA5250">
      <w:pPr>
        <w:rPr>
          <w:rFonts w:eastAsia="Calibri"/>
        </w:rPr>
      </w:pPr>
      <w:r>
        <w:rPr>
          <w:rFonts w:eastAsia="Calibri"/>
        </w:rPr>
        <w:t>Annual report to regional cancer network and regional lung cancer work group.</w:t>
      </w:r>
    </w:p>
    <w:p w:rsidR="00E64E91" w:rsidRPr="003E290F" w:rsidRDefault="00E64E91" w:rsidP="00CA5250">
      <w:pPr>
        <w:pStyle w:val="Heading2"/>
      </w:pPr>
      <w:bookmarkStart w:id="55" w:name="_Toc448737418"/>
      <w:r w:rsidRPr="003E290F">
        <w:lastRenderedPageBreak/>
        <w:t>Good practice points</w:t>
      </w:r>
      <w:bookmarkEnd w:id="52"/>
      <w:bookmarkEnd w:id="53"/>
      <w:bookmarkEnd w:id="55"/>
    </w:p>
    <w:p w:rsidR="00E64E91" w:rsidRPr="005D21D3" w:rsidRDefault="00070AFA" w:rsidP="00CA5250">
      <w:pPr>
        <w:keepNext/>
        <w:ind w:left="851" w:hanging="851"/>
      </w:pPr>
      <w:r>
        <w:t>4.1.1</w:t>
      </w:r>
      <w:r w:rsidR="0080730C">
        <w:tab/>
      </w:r>
      <w:r w:rsidR="00CF51A9">
        <w:t>Health practitioners should c</w:t>
      </w:r>
      <w:r w:rsidR="00E64E91" w:rsidRPr="0015353F">
        <w:t xml:space="preserve">hoose investigations that give the most information about diagnosis </w:t>
      </w:r>
      <w:r w:rsidR="00E64E91" w:rsidRPr="00D80A0D">
        <w:t>and</w:t>
      </w:r>
      <w:r w:rsidR="00E64E91" w:rsidRPr="00364C92">
        <w:rPr>
          <w:i/>
        </w:rPr>
        <w:t xml:space="preserve"> </w:t>
      </w:r>
      <w:r w:rsidR="00E64E91" w:rsidRPr="00364C92">
        <w:t xml:space="preserve">staging </w:t>
      </w:r>
      <w:r w:rsidR="00E64E91" w:rsidRPr="000C0CB8">
        <w:t>with least risk to the patient. Th</w:t>
      </w:r>
      <w:r w:rsidR="00CF51A9">
        <w:t>ey should th</w:t>
      </w:r>
      <w:r w:rsidR="00E64E91" w:rsidRPr="000C0CB8">
        <w:t xml:space="preserve">ink carefully before performing a test that gives only diagnostic pathology </w:t>
      </w:r>
      <w:r w:rsidR="00E64E91" w:rsidRPr="009B32A8">
        <w:t>when information on staging is</w:t>
      </w:r>
      <w:r w:rsidR="00FF110B">
        <w:t xml:space="preserve"> also needed to guide treatment</w:t>
      </w:r>
      <w:r w:rsidR="00D4376B">
        <w:t>.</w:t>
      </w:r>
    </w:p>
    <w:p w:rsidR="00E64E91" w:rsidRPr="00A701DB" w:rsidRDefault="00070AFA" w:rsidP="00CA5250">
      <w:pPr>
        <w:keepNext/>
        <w:ind w:left="851" w:hanging="851"/>
      </w:pPr>
      <w:r w:rsidRPr="001947F9">
        <w:t>4.1</w:t>
      </w:r>
      <w:r w:rsidR="00E64E91" w:rsidRPr="001947F9">
        <w:t>.2</w:t>
      </w:r>
      <w:r w:rsidR="00E64E91" w:rsidRPr="001947F9">
        <w:tab/>
      </w:r>
      <w:r w:rsidR="00CF51A9">
        <w:t>In appropriate patients, practitioners should carry out n</w:t>
      </w:r>
      <w:r w:rsidR="00E64E91" w:rsidRPr="001947F9">
        <w:t xml:space="preserve">on-ultrasound guided </w:t>
      </w:r>
      <w:proofErr w:type="spellStart"/>
      <w:r w:rsidR="00E64E91" w:rsidRPr="001947F9">
        <w:t>transbronchial</w:t>
      </w:r>
      <w:proofErr w:type="spellEnd"/>
      <w:r w:rsidR="00E64E91" w:rsidRPr="001947F9">
        <w:t xml:space="preserve"> needle aspiration (non-</w:t>
      </w:r>
      <w:r w:rsidR="00FF110B">
        <w:t xml:space="preserve">US TBNA) </w:t>
      </w:r>
      <w:r w:rsidR="00E64E91" w:rsidRPr="001947F9">
        <w:t>at the time of bronchoscopy, guided by CT or PET scan</w:t>
      </w:r>
      <w:r w:rsidR="00FF110B">
        <w:t>.</w:t>
      </w:r>
    </w:p>
    <w:p w:rsidR="00E64E91" w:rsidRPr="00BA24D8" w:rsidRDefault="00070AFA" w:rsidP="00CA5250">
      <w:pPr>
        <w:keepNext/>
        <w:ind w:left="851" w:hanging="851"/>
      </w:pPr>
      <w:r w:rsidRPr="00A87347">
        <w:t>4.1</w:t>
      </w:r>
      <w:r w:rsidR="0080730C">
        <w:t>.3</w:t>
      </w:r>
      <w:r w:rsidR="0080730C">
        <w:tab/>
      </w:r>
      <w:r w:rsidR="00CF51A9">
        <w:t>In appropriate patients, practitioners should u</w:t>
      </w:r>
      <w:r w:rsidR="00E64E91" w:rsidRPr="00BA24D8">
        <w:t xml:space="preserve">se </w:t>
      </w:r>
      <w:r w:rsidR="0080730C">
        <w:t xml:space="preserve">EBUS-TBNA or non-US </w:t>
      </w:r>
      <w:r w:rsidR="00E64E91" w:rsidRPr="00BA24D8">
        <w:t>TBNA as the preferred diagnosis and staging tests, based on information</w:t>
      </w:r>
      <w:r w:rsidR="00FF110B">
        <w:t xml:space="preserve"> provided by CT or PET-CT scans.</w:t>
      </w:r>
    </w:p>
    <w:p w:rsidR="00E64E91" w:rsidRPr="00B9317A" w:rsidRDefault="00070AFA" w:rsidP="00CA5250">
      <w:pPr>
        <w:keepLines/>
        <w:ind w:left="851" w:hanging="851"/>
      </w:pPr>
      <w:r w:rsidRPr="00B9317A">
        <w:t>4.1.4</w:t>
      </w:r>
      <w:r w:rsidR="00E64E91" w:rsidRPr="00B9317A">
        <w:tab/>
        <w:t>P</w:t>
      </w:r>
      <w:r w:rsidR="00CF51A9">
        <w:t xml:space="preserve">ractitioners should confirm the </w:t>
      </w:r>
      <w:r w:rsidR="00D96419">
        <w:t>diagnosis pathologically</w:t>
      </w:r>
      <w:r w:rsidR="00CF51A9">
        <w:t xml:space="preserve"> where they think a p</w:t>
      </w:r>
      <w:r w:rsidR="00E64E91" w:rsidRPr="00B9317A">
        <w:t>atient ha</w:t>
      </w:r>
      <w:r w:rsidR="003037E3">
        <w:t>s</w:t>
      </w:r>
      <w:r w:rsidR="00E64E91" w:rsidRPr="00B9317A">
        <w:t xml:space="preserve"> N2/N3 disease</w:t>
      </w:r>
      <w:r w:rsidR="006E5BD6">
        <w:t xml:space="preserve"> (mediastinal nodal involvement)</w:t>
      </w:r>
      <w:r w:rsidR="00E64E91" w:rsidRPr="00B9317A">
        <w:t xml:space="preserve">, based on information provided by the PET-CT scan, unless </w:t>
      </w:r>
      <w:r w:rsidR="00CF51A9">
        <w:t xml:space="preserve">the patient has </w:t>
      </w:r>
      <w:r w:rsidR="00E64E91" w:rsidRPr="00B9317A">
        <w:t>obvious distant</w:t>
      </w:r>
      <w:r w:rsidR="0080730C">
        <w:t xml:space="preserve"> metastatic </w:t>
      </w:r>
      <w:r w:rsidR="00E64E91" w:rsidRPr="00B9317A">
        <w:t>disease or multiple nodal stations, in keeping with locally advanced</w:t>
      </w:r>
      <w:r w:rsidR="00FF110B">
        <w:t xml:space="preserve"> lung cancer</w:t>
      </w:r>
      <w:r w:rsidR="00D4376B">
        <w:t>.</w:t>
      </w:r>
    </w:p>
    <w:p w:rsidR="00E64E91" w:rsidRPr="00952263" w:rsidRDefault="00E64E91" w:rsidP="00CA5250">
      <w:pPr>
        <w:ind w:left="851" w:hanging="851"/>
      </w:pPr>
      <w:r w:rsidRPr="002834F2">
        <w:t>4.</w:t>
      </w:r>
      <w:r w:rsidR="00070AFA" w:rsidRPr="001F5E65">
        <w:t>1.</w:t>
      </w:r>
      <w:r w:rsidRPr="001F5E65">
        <w:t>5</w:t>
      </w:r>
      <w:r w:rsidRPr="001F5E65">
        <w:tab/>
        <w:t>P</w:t>
      </w:r>
      <w:r w:rsidR="00EA201A">
        <w:t xml:space="preserve">ractitioners should assess lung function and perform gas transfer </w:t>
      </w:r>
      <w:r w:rsidR="00EA201A" w:rsidRPr="0022285C">
        <w:t>diffusing capacity of the lung for carbon monoxide</w:t>
      </w:r>
      <w:r w:rsidR="00EA201A">
        <w:t xml:space="preserve"> (DLCO) studies in p</w:t>
      </w:r>
      <w:r w:rsidRPr="001F5E65">
        <w:t>atients considered suitable fo</w:t>
      </w:r>
      <w:r w:rsidR="00D4376B">
        <w:t>r potentially radical treatment.</w:t>
      </w:r>
    </w:p>
    <w:p w:rsidR="00E64E91" w:rsidRPr="00FF110B" w:rsidRDefault="00E64E91" w:rsidP="00CA5250">
      <w:pPr>
        <w:ind w:left="851" w:hanging="851"/>
      </w:pPr>
      <w:r w:rsidRPr="00952263">
        <w:t>4.</w:t>
      </w:r>
      <w:r w:rsidR="00070AFA" w:rsidRPr="00952263">
        <w:t>1.</w:t>
      </w:r>
      <w:r w:rsidRPr="006C3293">
        <w:t>6</w:t>
      </w:r>
      <w:r w:rsidRPr="006C3293">
        <w:tab/>
        <w:t>Selected patients undergoing surgery for lung cance</w:t>
      </w:r>
      <w:r w:rsidR="00070AFA" w:rsidRPr="006C3293">
        <w:t xml:space="preserve">r will require cardiopulmonary </w:t>
      </w:r>
      <w:r w:rsidR="00FF110B">
        <w:t>exercise testing.</w:t>
      </w:r>
    </w:p>
    <w:p w:rsidR="00877491" w:rsidRDefault="00E64E91" w:rsidP="00CA5250">
      <w:pPr>
        <w:ind w:left="851" w:hanging="851"/>
      </w:pPr>
      <w:r w:rsidRPr="0015353F">
        <w:t>4.</w:t>
      </w:r>
      <w:r w:rsidR="00070AFA" w:rsidRPr="0015353F">
        <w:t>1.</w:t>
      </w:r>
      <w:r w:rsidRPr="00364C92">
        <w:t>7</w:t>
      </w:r>
      <w:r w:rsidRPr="0015353F">
        <w:tab/>
      </w:r>
      <w:r w:rsidR="00EA201A">
        <w:t>Practitioners should c</w:t>
      </w:r>
      <w:r w:rsidRPr="0015353F">
        <w:t xml:space="preserve">onsider CT of the head as part of staging investigation in patients with small-cell lung cancer or locally advanced </w:t>
      </w:r>
      <w:r w:rsidR="00C61BB7">
        <w:t>NSCLC</w:t>
      </w:r>
      <w:r w:rsidR="00D4376B">
        <w:t>.</w:t>
      </w:r>
    </w:p>
    <w:p w:rsidR="00997657" w:rsidRPr="00295E5B" w:rsidRDefault="00877491" w:rsidP="00CA5250">
      <w:pPr>
        <w:ind w:left="851" w:hanging="851"/>
        <w:rPr>
          <w:szCs w:val="22"/>
        </w:rPr>
      </w:pPr>
      <w:r>
        <w:t>4.1.8</w:t>
      </w:r>
      <w:r>
        <w:tab/>
      </w:r>
      <w:r w:rsidR="00D96419">
        <w:t xml:space="preserve">Practitioners should take </w:t>
      </w:r>
      <w:r w:rsidR="00D96419">
        <w:rPr>
          <w:szCs w:val="22"/>
        </w:rPr>
        <w:t>t</w:t>
      </w:r>
      <w:r w:rsidR="00997657" w:rsidRPr="00295E5B">
        <w:rPr>
          <w:szCs w:val="22"/>
        </w:rPr>
        <w:t xml:space="preserve">he tissue requirements for molecular testing into account when obtaining and handling biopsy specimens in patients with suspected lung cancer. Core biopsy is preferable to fine needle aspiration where </w:t>
      </w:r>
      <w:r w:rsidR="00D96419">
        <w:rPr>
          <w:szCs w:val="22"/>
        </w:rPr>
        <w:t xml:space="preserve">it </w:t>
      </w:r>
      <w:r w:rsidR="00997657" w:rsidRPr="00295E5B">
        <w:rPr>
          <w:szCs w:val="22"/>
        </w:rPr>
        <w:t>is feasible and safe.</w:t>
      </w:r>
    </w:p>
    <w:p w:rsidR="00997657" w:rsidRPr="00295E5B" w:rsidRDefault="00877491" w:rsidP="00CA5250">
      <w:pPr>
        <w:ind w:left="851" w:hanging="851"/>
        <w:rPr>
          <w:szCs w:val="22"/>
        </w:rPr>
      </w:pPr>
      <w:r w:rsidRPr="00295E5B">
        <w:rPr>
          <w:szCs w:val="22"/>
        </w:rPr>
        <w:t>4.1.9</w:t>
      </w:r>
      <w:r w:rsidRPr="00295E5B">
        <w:rPr>
          <w:szCs w:val="22"/>
        </w:rPr>
        <w:tab/>
      </w:r>
      <w:r w:rsidR="00D96419">
        <w:rPr>
          <w:szCs w:val="22"/>
        </w:rPr>
        <w:t>Practitioners should use m</w:t>
      </w:r>
      <w:r w:rsidR="00997657" w:rsidRPr="00295E5B">
        <w:rPr>
          <w:szCs w:val="22"/>
        </w:rPr>
        <w:t xml:space="preserve">olecular testing to select patients suitable for targeted therapies, and </w:t>
      </w:r>
      <w:r w:rsidR="00D96419">
        <w:rPr>
          <w:szCs w:val="22"/>
        </w:rPr>
        <w:t xml:space="preserve">should not exclude </w:t>
      </w:r>
      <w:r w:rsidR="00997657" w:rsidRPr="00295E5B">
        <w:rPr>
          <w:szCs w:val="22"/>
        </w:rPr>
        <w:t>patients with non-squamous NSCLC from testing on clinical characteristics.</w:t>
      </w:r>
    </w:p>
    <w:p w:rsidR="00997657" w:rsidRPr="00295E5B" w:rsidRDefault="00877491" w:rsidP="00CA5250">
      <w:pPr>
        <w:ind w:left="851" w:hanging="851"/>
        <w:rPr>
          <w:szCs w:val="22"/>
        </w:rPr>
      </w:pPr>
      <w:r w:rsidRPr="00295E5B">
        <w:rPr>
          <w:szCs w:val="22"/>
        </w:rPr>
        <w:t>4.1.10</w:t>
      </w:r>
      <w:r w:rsidRPr="00295E5B">
        <w:rPr>
          <w:szCs w:val="22"/>
        </w:rPr>
        <w:tab/>
      </w:r>
      <w:r w:rsidR="00997657" w:rsidRPr="00295E5B">
        <w:rPr>
          <w:szCs w:val="22"/>
        </w:rPr>
        <w:t>Molecular test results should include a results and interpretation section readily understandable by clinicians and non-specialist pathologists.</w:t>
      </w:r>
    </w:p>
    <w:p w:rsidR="0098397D" w:rsidRDefault="001E2030" w:rsidP="00B850E5">
      <w:pPr>
        <w:pStyle w:val="Heading1"/>
      </w:pPr>
      <w:r w:rsidRPr="00997657">
        <w:rPr>
          <w:sz w:val="22"/>
        </w:rPr>
        <w:br w:type="page"/>
      </w:r>
      <w:bookmarkStart w:id="56" w:name="_Toc290903018"/>
      <w:bookmarkStart w:id="57" w:name="_Toc399763971"/>
      <w:bookmarkStart w:id="58" w:name="_Toc448737419"/>
      <w:r w:rsidR="00E64E91" w:rsidRPr="005C00C8">
        <w:lastRenderedPageBreak/>
        <w:t>5</w:t>
      </w:r>
      <w:r w:rsidR="00E64E91" w:rsidRPr="005C00C8">
        <w:tab/>
        <w:t>Multidisciplinary care</w:t>
      </w:r>
      <w:bookmarkEnd w:id="56"/>
      <w:bookmarkEnd w:id="57"/>
      <w:bookmarkEnd w:id="58"/>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CA5250" w:rsidRDefault="00B850E5" w:rsidP="00CA5250">
            <w:pPr>
              <w:pStyle w:val="Heading2"/>
              <w:keepNext w:val="0"/>
              <w:spacing w:before="120"/>
              <w:rPr>
                <w:sz w:val="24"/>
                <w:szCs w:val="24"/>
              </w:rPr>
            </w:pPr>
            <w:bookmarkStart w:id="59" w:name="_Toc448737420"/>
            <w:r w:rsidRPr="00CA5250">
              <w:rPr>
                <w:sz w:val="24"/>
                <w:szCs w:val="24"/>
              </w:rPr>
              <w:t xml:space="preserve">Standard </w:t>
            </w:r>
            <w:r w:rsidR="00CA5250" w:rsidRPr="00CA5250">
              <w:rPr>
                <w:sz w:val="24"/>
                <w:szCs w:val="24"/>
              </w:rPr>
              <w:t>5</w:t>
            </w:r>
            <w:r w:rsidRPr="00CA5250">
              <w:rPr>
                <w:sz w:val="24"/>
                <w:szCs w:val="24"/>
              </w:rPr>
              <w:t>.1</w:t>
            </w:r>
            <w:bookmarkEnd w:id="59"/>
          </w:p>
        </w:tc>
        <w:tc>
          <w:tcPr>
            <w:tcW w:w="6095" w:type="dxa"/>
            <w:shd w:val="clear" w:color="auto" w:fill="auto"/>
          </w:tcPr>
          <w:p w:rsidR="00B850E5" w:rsidRPr="006E7C35" w:rsidRDefault="00CA5250" w:rsidP="00640EE6">
            <w:pPr>
              <w:pStyle w:val="TableText"/>
            </w:pPr>
            <w:r w:rsidRPr="000759DB">
              <w:t>All patients with lung cancer</w:t>
            </w:r>
            <w:r>
              <w:t xml:space="preserve"> should be discussed/registered at an MDM.</w:t>
            </w:r>
          </w:p>
        </w:tc>
      </w:tr>
    </w:tbl>
    <w:p w:rsidR="00CA5250" w:rsidRPr="007F36E4" w:rsidRDefault="00CA5250" w:rsidP="00CA5250">
      <w:pPr>
        <w:pStyle w:val="Heading3"/>
        <w:rPr>
          <w:rFonts w:eastAsia="Calibri"/>
          <w:lang w:eastAsia="en-NZ"/>
        </w:rPr>
      </w:pPr>
      <w:r w:rsidRPr="003E290F">
        <w:rPr>
          <w:rFonts w:eastAsia="Calibri"/>
          <w:lang w:eastAsia="en-NZ"/>
        </w:rPr>
        <w:t>Rationale</w:t>
      </w:r>
    </w:p>
    <w:p w:rsidR="00CA5250" w:rsidRPr="00DA1A93" w:rsidRDefault="00CA5250" w:rsidP="00CA5250">
      <w:r w:rsidRPr="00C50ADB">
        <w:t>The cornerstone of best practice in cancer care is multidisciplinary treatment planning and</w:t>
      </w:r>
      <w:r w:rsidRPr="000759DB">
        <w:t xml:space="preserve"> multidisciplinary care. An effective multidisciplinary approach can result in survival benefit</w:t>
      </w:r>
      <w:r>
        <w:t>s</w:t>
      </w:r>
      <w:r w:rsidRPr="000759DB">
        <w:t>, increased recruitment into clinical trials, reduction in service duplication and improved coordination of services</w:t>
      </w:r>
      <w:r>
        <w:t xml:space="preserve">. Further guidance on this topic is set out in the </w:t>
      </w:r>
      <w:r w:rsidRPr="00FB60E9">
        <w:rPr>
          <w:i/>
        </w:rPr>
        <w:t>Lung Cancer M</w:t>
      </w:r>
      <w:r>
        <w:rPr>
          <w:i/>
        </w:rPr>
        <w:t xml:space="preserve">ultidisciplinary Meeting </w:t>
      </w:r>
      <w:r w:rsidRPr="00FB60E9">
        <w:rPr>
          <w:i/>
        </w:rPr>
        <w:t>Toolkit</w:t>
      </w:r>
      <w:r>
        <w:t xml:space="preserve"> (National Lung Cancer Working Group 2014).</w:t>
      </w:r>
    </w:p>
    <w:p w:rsidR="00CA5250" w:rsidRPr="007F36E4" w:rsidRDefault="00CA5250" w:rsidP="00CA5250">
      <w:pPr>
        <w:pStyle w:val="Heading3"/>
        <w:rPr>
          <w:rFonts w:eastAsia="Calibri"/>
        </w:rPr>
      </w:pPr>
      <w:r>
        <w:rPr>
          <w:rFonts w:eastAsia="Calibri"/>
          <w:lang w:eastAsia="en-NZ"/>
        </w:rPr>
        <w:t>How do we measure the standard</w:t>
      </w:r>
    </w:p>
    <w:p w:rsidR="00CA5250" w:rsidRDefault="00CA5250" w:rsidP="00CA5250">
      <w:pPr>
        <w:rPr>
          <w:rFonts w:eastAsia="Calibri"/>
          <w:lang w:eastAsia="en-NZ"/>
        </w:rPr>
      </w:pPr>
      <w:r w:rsidRPr="007F36E4">
        <w:rPr>
          <w:rFonts w:eastAsia="Calibri"/>
          <w:b/>
          <w:bCs/>
          <w:lang w:eastAsia="en-NZ"/>
        </w:rPr>
        <w:t>Numerator:</w:t>
      </w:r>
      <w:r>
        <w:rPr>
          <w:rFonts w:eastAsia="Calibri"/>
          <w:lang w:eastAsia="en-NZ"/>
        </w:rPr>
        <w:t xml:space="preserve"> Number of lung cancer registrations discussed at an MDM.</w:t>
      </w:r>
    </w:p>
    <w:p w:rsidR="00CA5250" w:rsidRPr="00877491" w:rsidRDefault="00CA5250" w:rsidP="00CA5250">
      <w:pPr>
        <w:rPr>
          <w:rFonts w:eastAsia="Calibri"/>
          <w:lang w:eastAsia="en-NZ"/>
        </w:rPr>
      </w:pPr>
      <w:r w:rsidRPr="00C91C9E">
        <w:rPr>
          <w:rFonts w:eastAsia="Calibri"/>
          <w:b/>
          <w:lang w:eastAsia="en-NZ"/>
        </w:rPr>
        <w:t xml:space="preserve">Denominator: </w:t>
      </w:r>
      <w:r w:rsidRPr="00C91C9E">
        <w:rPr>
          <w:rFonts w:eastAsia="Calibri"/>
          <w:lang w:eastAsia="en-NZ"/>
        </w:rPr>
        <w:t xml:space="preserve">Number of </w:t>
      </w:r>
      <w:r>
        <w:rPr>
          <w:rFonts w:eastAsia="Calibri"/>
          <w:lang w:eastAsia="en-NZ"/>
        </w:rPr>
        <w:t xml:space="preserve">all </w:t>
      </w:r>
      <w:r w:rsidRPr="00C91C9E">
        <w:rPr>
          <w:rFonts w:eastAsia="Calibri"/>
          <w:lang w:eastAsia="en-NZ"/>
        </w:rPr>
        <w:t>lung cancer registrations</w:t>
      </w:r>
      <w:r>
        <w:rPr>
          <w:rFonts w:eastAsia="Calibri"/>
          <w:lang w:eastAsia="en-NZ"/>
        </w:rPr>
        <w:t>.</w:t>
      </w:r>
    </w:p>
    <w:p w:rsidR="00CA5250" w:rsidRPr="007F36E4" w:rsidRDefault="00CA5250" w:rsidP="00CA5250">
      <w:pPr>
        <w:pStyle w:val="Heading3"/>
        <w:rPr>
          <w:rFonts w:eastAsia="Calibri"/>
        </w:rPr>
      </w:pPr>
      <w:r>
        <w:rPr>
          <w:rFonts w:eastAsia="Calibri"/>
          <w:lang w:eastAsia="en-NZ"/>
        </w:rPr>
        <w:t>Target</w:t>
      </w:r>
    </w:p>
    <w:p w:rsidR="00CA5250" w:rsidRPr="007F36E4" w:rsidRDefault="00CA5250" w:rsidP="00CA5250">
      <w:pPr>
        <w:rPr>
          <w:rFonts w:eastAsia="Calibri"/>
        </w:rPr>
      </w:pPr>
      <w:r w:rsidRPr="00F95C98">
        <w:rPr>
          <w:rFonts w:eastAsia="Calibri"/>
          <w:lang w:eastAsia="en-NZ"/>
        </w:rPr>
        <w:t>90</w:t>
      </w:r>
      <w:r>
        <w:rPr>
          <w:rFonts w:eastAsia="Calibri"/>
          <w:lang w:eastAsia="en-NZ"/>
        </w:rPr>
        <w:t xml:space="preserve"> percent of patients meet the standard, excluding those </w:t>
      </w:r>
      <w:r w:rsidRPr="007F36E4">
        <w:rPr>
          <w:rFonts w:eastAsia="Calibri"/>
          <w:lang w:eastAsia="en-NZ"/>
        </w:rPr>
        <w:t xml:space="preserve">who died before first </w:t>
      </w:r>
      <w:r>
        <w:rPr>
          <w:rFonts w:eastAsia="Calibri"/>
          <w:lang w:eastAsia="en-NZ"/>
        </w:rPr>
        <w:t xml:space="preserve">their </w:t>
      </w:r>
      <w:r w:rsidRPr="007F36E4">
        <w:rPr>
          <w:rFonts w:eastAsia="Calibri"/>
          <w:lang w:eastAsia="en-NZ"/>
        </w:rPr>
        <w:t>treatment.</w:t>
      </w:r>
    </w:p>
    <w:p w:rsidR="00CA5250" w:rsidRPr="007F36E4" w:rsidRDefault="00CA5250" w:rsidP="00CA5250">
      <w:pPr>
        <w:pStyle w:val="Heading3"/>
        <w:rPr>
          <w:rFonts w:eastAsia="Calibri"/>
        </w:rPr>
      </w:pPr>
      <w:r w:rsidRPr="007F36E4">
        <w:rPr>
          <w:rFonts w:eastAsia="Calibri"/>
        </w:rPr>
        <w:t>Monitoring requirement</w:t>
      </w:r>
    </w:p>
    <w:p w:rsidR="00CA5250" w:rsidRPr="007F36E4" w:rsidRDefault="00CA5250" w:rsidP="00CA5250">
      <w:pPr>
        <w:rPr>
          <w:rFonts w:eastAsia="Calibri"/>
        </w:rPr>
      </w:pPr>
      <w:r>
        <w:rPr>
          <w:rFonts w:eastAsia="Calibri"/>
        </w:rPr>
        <w:t>Six-monthly report to regional cancer network and regional lung cancer work group.</w:t>
      </w:r>
    </w:p>
    <w:p w:rsidR="00E64E91" w:rsidRPr="003E290F" w:rsidRDefault="00E64E91" w:rsidP="00CA5250">
      <w:pPr>
        <w:pStyle w:val="Heading2"/>
      </w:pPr>
      <w:bookmarkStart w:id="60" w:name="_Toc297732860"/>
      <w:bookmarkStart w:id="61" w:name="_Toc399763973"/>
      <w:bookmarkStart w:id="62" w:name="_Toc448737421"/>
      <w:r w:rsidRPr="003E290F">
        <w:lastRenderedPageBreak/>
        <w:t>Good practice points</w:t>
      </w:r>
      <w:bookmarkEnd w:id="60"/>
      <w:bookmarkEnd w:id="61"/>
      <w:bookmarkEnd w:id="62"/>
    </w:p>
    <w:p w:rsidR="002D0608" w:rsidRDefault="00E64E91" w:rsidP="00CA5250">
      <w:pPr>
        <w:keepNext/>
        <w:ind w:left="851" w:hanging="851"/>
      </w:pPr>
      <w:r w:rsidRPr="000759DB">
        <w:t>5.1</w:t>
      </w:r>
      <w:r w:rsidR="00070AFA">
        <w:t>.1</w:t>
      </w:r>
      <w:r w:rsidRPr="000759DB">
        <w:tab/>
        <w:t xml:space="preserve">All referrals to a </w:t>
      </w:r>
      <w:r w:rsidR="00D96419">
        <w:t xml:space="preserve">MDM </w:t>
      </w:r>
      <w:r w:rsidRPr="000759DB">
        <w:t xml:space="preserve">should include demographic data, provisional staging and clinical factors such as: current symptoms, performance status, weight loss, medical co-morbidity, bronchoscopy, relevant imaging, pathological diagnosis </w:t>
      </w:r>
      <w:r>
        <w:t xml:space="preserve">(if available) </w:t>
      </w:r>
      <w:r w:rsidRPr="000759DB">
        <w:t>and lung function</w:t>
      </w:r>
      <w:r w:rsidR="00D96419">
        <w:t>,</w:t>
      </w:r>
      <w:r w:rsidRPr="000759DB">
        <w:t xml:space="preserve"> to maximise the </w:t>
      </w:r>
      <w:r w:rsidR="00D96419">
        <w:t>MDM</w:t>
      </w:r>
      <w:r w:rsidR="002D0608">
        <w:t>’</w:t>
      </w:r>
      <w:r w:rsidR="00D96419">
        <w:t xml:space="preserve">s ability to make </w:t>
      </w:r>
      <w:r w:rsidR="00877491">
        <w:t>appropriate clinical decisions</w:t>
      </w:r>
      <w:r w:rsidR="00282ABF">
        <w:t>.</w:t>
      </w:r>
    </w:p>
    <w:p w:rsidR="002D0608" w:rsidRDefault="00CA5250" w:rsidP="00CA5250">
      <w:pPr>
        <w:keepNext/>
        <w:ind w:left="851" w:hanging="851"/>
      </w:pPr>
      <w:r>
        <w:t>5.1.2</w:t>
      </w:r>
      <w:r>
        <w:tab/>
      </w:r>
      <w:r w:rsidR="00E64E91" w:rsidRPr="000759DB">
        <w:t>The multidisciplinary discussion report should include treatment recommendation</w:t>
      </w:r>
      <w:r w:rsidR="00E64E91">
        <w:t>s</w:t>
      </w:r>
      <w:r w:rsidR="00E64E91" w:rsidRPr="000759DB">
        <w:t xml:space="preserve"> and intent, where possible, as well as reasons for </w:t>
      </w:r>
      <w:r w:rsidR="00E64E91">
        <w:t xml:space="preserve">any </w:t>
      </w:r>
      <w:r w:rsidR="00E64E91" w:rsidRPr="000759DB">
        <w:t>varia</w:t>
      </w:r>
      <w:r w:rsidR="00E64E91">
        <w:t>tion</w:t>
      </w:r>
      <w:r w:rsidR="00E64E91" w:rsidRPr="000759DB">
        <w:t xml:space="preserve"> from standard practice.</w:t>
      </w:r>
    </w:p>
    <w:p w:rsidR="002D0608" w:rsidRDefault="00CA5250" w:rsidP="00CA5250">
      <w:pPr>
        <w:keepNext/>
        <w:ind w:left="851" w:hanging="851"/>
      </w:pPr>
      <w:r>
        <w:t>5.1.3</w:t>
      </w:r>
      <w:r>
        <w:tab/>
      </w:r>
      <w:r w:rsidR="00D96419">
        <w:t>Where t</w:t>
      </w:r>
      <w:r w:rsidR="00E64E91" w:rsidRPr="000759DB">
        <w:t xml:space="preserve">he treating clinician </w:t>
      </w:r>
      <w:r w:rsidR="00D96419">
        <w:t xml:space="preserve">does </w:t>
      </w:r>
      <w:r w:rsidR="00E64E91" w:rsidRPr="000759DB">
        <w:t>not following the treatment plan recommended by the multidisciplinary team</w:t>
      </w:r>
      <w:r w:rsidR="00D96419">
        <w:t>, he or she should record the reason</w:t>
      </w:r>
      <w:r w:rsidR="00E64E91" w:rsidRPr="000759DB">
        <w:t>.</w:t>
      </w:r>
    </w:p>
    <w:p w:rsidR="002D0608" w:rsidRDefault="00CA5250" w:rsidP="00CA5250">
      <w:pPr>
        <w:ind w:left="851" w:hanging="851"/>
      </w:pPr>
      <w:r>
        <w:t>5.1.4</w:t>
      </w:r>
      <w:r>
        <w:tab/>
      </w:r>
      <w:r w:rsidR="00E64E91">
        <w:t>The r</w:t>
      </w:r>
      <w:r w:rsidR="00E64E91" w:rsidRPr="000759DB">
        <w:t>ecommendations of the multidisciplinary discussion should be available as an electronic record accessible to other members of the health</w:t>
      </w:r>
      <w:r w:rsidR="00E64E91">
        <w:t xml:space="preserve"> </w:t>
      </w:r>
      <w:r w:rsidR="00E64E91" w:rsidRPr="000759DB">
        <w:t>care team.</w:t>
      </w:r>
    </w:p>
    <w:p w:rsidR="0098397D" w:rsidRDefault="00E64E91" w:rsidP="00B850E5">
      <w:pPr>
        <w:pStyle w:val="Heading1"/>
      </w:pPr>
      <w:r>
        <w:br w:type="page"/>
      </w:r>
      <w:bookmarkStart w:id="63" w:name="_Toc399763975"/>
      <w:bookmarkStart w:id="64" w:name="_Toc448737422"/>
      <w:r w:rsidRPr="005C00C8">
        <w:lastRenderedPageBreak/>
        <w:t>6</w:t>
      </w:r>
      <w:r w:rsidRPr="005C00C8">
        <w:tab/>
      </w:r>
      <w:r w:rsidR="001C6821">
        <w:t>Supportive care</w:t>
      </w:r>
      <w:bookmarkEnd w:id="63"/>
      <w:bookmarkEnd w:id="64"/>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4D1D65" w:rsidRDefault="00B850E5" w:rsidP="004D1D65">
            <w:pPr>
              <w:pStyle w:val="Heading2"/>
              <w:keepNext w:val="0"/>
              <w:spacing w:before="120"/>
              <w:rPr>
                <w:sz w:val="24"/>
                <w:szCs w:val="24"/>
              </w:rPr>
            </w:pPr>
            <w:bookmarkStart w:id="65" w:name="_Toc448737423"/>
            <w:r w:rsidRPr="004D1D65">
              <w:rPr>
                <w:sz w:val="24"/>
                <w:szCs w:val="24"/>
              </w:rPr>
              <w:t xml:space="preserve">Standard </w:t>
            </w:r>
            <w:r w:rsidR="004D1D65" w:rsidRPr="004D1D65">
              <w:rPr>
                <w:sz w:val="24"/>
                <w:szCs w:val="24"/>
              </w:rPr>
              <w:t>6</w:t>
            </w:r>
            <w:r w:rsidRPr="004D1D65">
              <w:rPr>
                <w:sz w:val="24"/>
                <w:szCs w:val="24"/>
              </w:rPr>
              <w:t>.1</w:t>
            </w:r>
            <w:bookmarkEnd w:id="65"/>
          </w:p>
        </w:tc>
        <w:tc>
          <w:tcPr>
            <w:tcW w:w="6095" w:type="dxa"/>
            <w:shd w:val="clear" w:color="auto" w:fill="auto"/>
          </w:tcPr>
          <w:p w:rsidR="00B850E5" w:rsidRPr="006E7C35" w:rsidRDefault="004D1D65" w:rsidP="00640EE6">
            <w:pPr>
              <w:pStyle w:val="TableText"/>
            </w:pPr>
            <w:r w:rsidRPr="001C6821">
              <w:t>All patients with lung cancer and their family/</w:t>
            </w:r>
            <w:r w:rsidRPr="006C1B90">
              <w:rPr>
                <w:lang w:val="mi-NZ"/>
              </w:rPr>
              <w:t>whānau</w:t>
            </w:r>
            <w:r w:rsidRPr="001C6821">
              <w:t xml:space="preserve"> </w:t>
            </w:r>
            <w:r>
              <w:t xml:space="preserve">should </w:t>
            </w:r>
            <w:r w:rsidRPr="001C6821">
              <w:t xml:space="preserve">have equitable and coordinated access to appropriate medical, allied health and supportive care services, in accordance with </w:t>
            </w:r>
            <w:r w:rsidRPr="00FB60E9">
              <w:rPr>
                <w:i/>
              </w:rPr>
              <w:t>Guidance for Improving Supportive Care for Adults with Cancer in New Zealand</w:t>
            </w:r>
            <w:r w:rsidRPr="001C6821">
              <w:t xml:space="preserve"> (Ministry of Health 2010)</w:t>
            </w:r>
            <w:r>
              <w:t>.</w:t>
            </w:r>
          </w:p>
        </w:tc>
      </w:tr>
    </w:tbl>
    <w:p w:rsidR="004D1D65" w:rsidRPr="007F36E4" w:rsidRDefault="004D1D65" w:rsidP="004D1D65">
      <w:pPr>
        <w:pStyle w:val="Heading3"/>
        <w:rPr>
          <w:rFonts w:eastAsia="Calibri"/>
          <w:lang w:eastAsia="en-NZ"/>
        </w:rPr>
      </w:pPr>
      <w:r>
        <w:rPr>
          <w:rFonts w:eastAsia="Calibri"/>
          <w:lang w:eastAsia="en-NZ"/>
        </w:rPr>
        <w:t>Rationale</w:t>
      </w:r>
    </w:p>
    <w:p w:rsidR="004D1D65" w:rsidRDefault="004D1D65" w:rsidP="004D1D65">
      <w:r w:rsidRPr="006C1B90">
        <w:t>The psychological, social, physical and spiritual needs of cancer patients are many and varied. T</w:t>
      </w:r>
      <w:r>
        <w:t>o a large extent, t</w:t>
      </w:r>
      <w:r w:rsidRPr="006C1B90">
        <w:t xml:space="preserve">hese needs can be met by </w:t>
      </w:r>
      <w:r>
        <w:t xml:space="preserve">the multidisciplinary </w:t>
      </w:r>
      <w:r w:rsidRPr="006C1B90">
        <w:t>health care teams in hospitals and in the community</w:t>
      </w:r>
      <w:r>
        <w:t>.</w:t>
      </w:r>
    </w:p>
    <w:p w:rsidR="004D1D65" w:rsidRPr="00B366B4" w:rsidRDefault="004D1D65" w:rsidP="004D1D65">
      <w:r w:rsidRPr="006C1B90">
        <w:t>Non-government organisations, including the Cancer Society, perform an important role in providing supportive care.</w:t>
      </w:r>
    </w:p>
    <w:p w:rsidR="004D1D65" w:rsidRPr="00C0773B" w:rsidRDefault="004D1D65" w:rsidP="004D1D65">
      <w:pPr>
        <w:pStyle w:val="Heading3"/>
        <w:rPr>
          <w:rFonts w:eastAsia="Calibri"/>
          <w:lang w:eastAsia="en-NZ"/>
        </w:rPr>
      </w:pPr>
      <w:r>
        <w:rPr>
          <w:rFonts w:eastAsia="Calibri"/>
          <w:lang w:eastAsia="en-NZ"/>
        </w:rPr>
        <w:t>How do we measure the standard</w:t>
      </w:r>
    </w:p>
    <w:p w:rsidR="004D1D65" w:rsidRPr="00F95C98" w:rsidRDefault="004D1D65" w:rsidP="004D1D65">
      <w:pPr>
        <w:rPr>
          <w:rFonts w:eastAsia="Calibri"/>
          <w:lang w:eastAsia="en-NZ"/>
        </w:rPr>
      </w:pPr>
      <w:r w:rsidRPr="00F95C98">
        <w:rPr>
          <w:rFonts w:eastAsia="Calibri"/>
          <w:lang w:eastAsia="en-NZ"/>
        </w:rPr>
        <w:t>The DHB has a psychosocial assessment tool.</w:t>
      </w:r>
      <w:r>
        <w:rPr>
          <w:rFonts w:eastAsia="Calibri"/>
          <w:lang w:eastAsia="en-NZ"/>
        </w:rPr>
        <w:t xml:space="preserve"> There is evidence of appropriate use of the tool in a r</w:t>
      </w:r>
      <w:r w:rsidRPr="00F95C98">
        <w:rPr>
          <w:rFonts w:eastAsia="Calibri"/>
          <w:lang w:eastAsia="en-NZ"/>
        </w:rPr>
        <w:t>andom sample of 20 lung cancer patient records.</w:t>
      </w:r>
    </w:p>
    <w:p w:rsidR="004D1D65" w:rsidRPr="007F36E4" w:rsidRDefault="004D1D65" w:rsidP="004D1D65">
      <w:pPr>
        <w:pStyle w:val="Heading3"/>
        <w:rPr>
          <w:rFonts w:eastAsia="Calibri"/>
        </w:rPr>
      </w:pPr>
      <w:r>
        <w:rPr>
          <w:rFonts w:eastAsia="Calibri"/>
          <w:lang w:eastAsia="en-NZ"/>
        </w:rPr>
        <w:t>Target</w:t>
      </w:r>
    </w:p>
    <w:p w:rsidR="004D1D65" w:rsidRPr="00F95C98" w:rsidRDefault="004D1D65" w:rsidP="004D1D65">
      <w:pPr>
        <w:rPr>
          <w:rFonts w:eastAsia="Calibri"/>
          <w:lang w:eastAsia="en-NZ"/>
        </w:rPr>
      </w:pPr>
      <w:r w:rsidRPr="00F95C98">
        <w:rPr>
          <w:rFonts w:eastAsia="Calibri"/>
          <w:lang w:eastAsia="en-NZ"/>
        </w:rPr>
        <w:t>95</w:t>
      </w:r>
      <w:r>
        <w:rPr>
          <w:rFonts w:eastAsia="Calibri"/>
          <w:lang w:eastAsia="en-NZ"/>
        </w:rPr>
        <w:t xml:space="preserve"> percent</w:t>
      </w:r>
      <w:r w:rsidRPr="00F95C98">
        <w:rPr>
          <w:rFonts w:eastAsia="Calibri"/>
          <w:lang w:eastAsia="en-NZ"/>
        </w:rPr>
        <w:t xml:space="preserve"> of patients have their supportive care and psychosocial needs assessed and documented.</w:t>
      </w:r>
    </w:p>
    <w:p w:rsidR="004D1D65" w:rsidRPr="007F36E4" w:rsidRDefault="004D1D65" w:rsidP="004D1D65">
      <w:pPr>
        <w:pStyle w:val="Heading3"/>
        <w:rPr>
          <w:rFonts w:eastAsia="Calibri"/>
        </w:rPr>
      </w:pPr>
      <w:r w:rsidRPr="007F36E4">
        <w:rPr>
          <w:rFonts w:eastAsia="Calibri"/>
        </w:rPr>
        <w:t>Monitoring requirement</w:t>
      </w:r>
    </w:p>
    <w:p w:rsidR="004D1D65" w:rsidRPr="007F36E4" w:rsidRDefault="004D1D65" w:rsidP="004D1D65">
      <w:pPr>
        <w:rPr>
          <w:rFonts w:eastAsia="Calibri"/>
        </w:rPr>
      </w:pPr>
      <w:r>
        <w:rPr>
          <w:rFonts w:eastAsia="Calibri"/>
        </w:rPr>
        <w:t>Annual report to regional cancer network and regional lung cancer work group.</w:t>
      </w:r>
    </w:p>
    <w:p w:rsidR="00FC2344" w:rsidRDefault="00FC2344" w:rsidP="00FC2344">
      <w:bookmarkStart w:id="66" w:name="_Toc297732864"/>
      <w:bookmarkStart w:id="67" w:name="_Toc399763977"/>
      <w:r>
        <w:br w:type="page"/>
      </w:r>
    </w:p>
    <w:p w:rsidR="00E64E91" w:rsidRPr="00282ABF" w:rsidRDefault="00E64E91" w:rsidP="00FC2344">
      <w:pPr>
        <w:pStyle w:val="Heading2"/>
        <w:spacing w:before="0"/>
      </w:pPr>
      <w:bookmarkStart w:id="68" w:name="_Toc448737424"/>
      <w:r w:rsidRPr="00282ABF">
        <w:lastRenderedPageBreak/>
        <w:t>Good practice point</w:t>
      </w:r>
      <w:bookmarkEnd w:id="66"/>
      <w:bookmarkEnd w:id="67"/>
      <w:r w:rsidR="00DA3C66">
        <w:t>s</w:t>
      </w:r>
      <w:bookmarkEnd w:id="68"/>
    </w:p>
    <w:p w:rsidR="006C1B90" w:rsidRPr="006C1B90" w:rsidRDefault="006C1B90" w:rsidP="004D1D65">
      <w:pPr>
        <w:ind w:left="851" w:hanging="851"/>
      </w:pPr>
      <w:r>
        <w:t>6.1</w:t>
      </w:r>
      <w:r w:rsidR="00070AFA">
        <w:t>.1</w:t>
      </w:r>
      <w:r>
        <w:tab/>
      </w:r>
      <w:r w:rsidR="00DA3C66">
        <w:t xml:space="preserve">Practitioners should refer patients and their </w:t>
      </w:r>
      <w:r w:rsidR="00DA3C66" w:rsidRPr="006C1B90">
        <w:t>family/</w:t>
      </w:r>
      <w:r w:rsidR="00DA3C66" w:rsidRPr="006C1B90">
        <w:rPr>
          <w:lang w:val="mi-NZ"/>
        </w:rPr>
        <w:t>whānau</w:t>
      </w:r>
      <w:r w:rsidR="00DA3C66" w:rsidRPr="006C1B90">
        <w:t xml:space="preserve"> </w:t>
      </w:r>
      <w:r w:rsidRPr="006C1B90">
        <w:t>experiencing significant distress or disturbance to health practitioners with the requisite specialist skills (Ministry of Health 2010)</w:t>
      </w:r>
      <w:r>
        <w:t>.</w:t>
      </w:r>
    </w:p>
    <w:p w:rsidR="006C1B90" w:rsidRDefault="006C1B90" w:rsidP="004D1D65">
      <w:pPr>
        <w:ind w:left="851" w:hanging="851"/>
      </w:pPr>
      <w:r w:rsidRPr="006C1B90">
        <w:t>6.</w:t>
      </w:r>
      <w:r w:rsidR="00070AFA">
        <w:t>1.</w:t>
      </w:r>
      <w:r w:rsidRPr="006C1B90">
        <w:t>2</w:t>
      </w:r>
      <w:r w:rsidRPr="006C1B90">
        <w:tab/>
      </w:r>
      <w:r w:rsidR="00DA3C66">
        <w:t>S</w:t>
      </w:r>
      <w:r w:rsidRPr="006C1B90">
        <w:t xml:space="preserve">upport services </w:t>
      </w:r>
      <w:r w:rsidR="00DA3C66">
        <w:t xml:space="preserve">including spiritual services should be culturally appropriate </w:t>
      </w:r>
      <w:r w:rsidRPr="006C1B90">
        <w:t>(</w:t>
      </w:r>
      <w:proofErr w:type="spellStart"/>
      <w:r w:rsidR="00DA3C66">
        <w:t>eg</w:t>
      </w:r>
      <w:proofErr w:type="spellEnd"/>
      <w:r w:rsidR="00DA3C66">
        <w:t xml:space="preserve">, it may be appropriate to refer </w:t>
      </w:r>
      <w:r w:rsidR="00DA3C66" w:rsidRPr="006C1B90">
        <w:t>Māori patients and their family/</w:t>
      </w:r>
      <w:r w:rsidR="00DA3C66" w:rsidRPr="006C1B90">
        <w:rPr>
          <w:lang w:val="mi-NZ"/>
        </w:rPr>
        <w:t xml:space="preserve">whānau </w:t>
      </w:r>
      <w:r w:rsidR="00DA3C66">
        <w:rPr>
          <w:lang w:val="mi-NZ"/>
        </w:rPr>
        <w:t xml:space="preserve">to </w:t>
      </w:r>
      <w:r w:rsidRPr="006C1B90">
        <w:rPr>
          <w:lang w:val="mi-NZ"/>
        </w:rPr>
        <w:t>whānau</w:t>
      </w:r>
      <w:r w:rsidRPr="006C1B90">
        <w:t xml:space="preserve"> supportive services and Māori patient navigators/cancer coordinators) (Ministry of Health 2010).</w:t>
      </w:r>
    </w:p>
    <w:p w:rsidR="00D70689" w:rsidRDefault="006C1B90" w:rsidP="004D1D65">
      <w:pPr>
        <w:ind w:left="851" w:hanging="851"/>
      </w:pPr>
      <w:r w:rsidRPr="006C1B90">
        <w:t>6.</w:t>
      </w:r>
      <w:r w:rsidR="00070AFA">
        <w:t>1.</w:t>
      </w:r>
      <w:r w:rsidRPr="006C1B90">
        <w:t>3</w:t>
      </w:r>
      <w:r w:rsidRPr="006C1B90">
        <w:tab/>
        <w:t xml:space="preserve">Supportive care assessments and interventions </w:t>
      </w:r>
      <w:r w:rsidR="00DA3C66">
        <w:t xml:space="preserve">should be </w:t>
      </w:r>
      <w:r w:rsidRPr="006C1B90">
        <w:t xml:space="preserve">undertaken in suitable facilities and locations that take into consideration </w:t>
      </w:r>
      <w:r w:rsidR="00DA3C66">
        <w:t>people</w:t>
      </w:r>
      <w:r w:rsidR="002D0608">
        <w:t>’</w:t>
      </w:r>
      <w:r w:rsidR="00DA3C66">
        <w:t xml:space="preserve">s </w:t>
      </w:r>
      <w:r w:rsidRPr="006C1B90">
        <w:t>needs for privacy, comfort and mobility.</w:t>
      </w:r>
    </w:p>
    <w:p w:rsidR="00FC2344" w:rsidRDefault="00FC2344" w:rsidP="00FC2344">
      <w:bookmarkStart w:id="69" w:name="_Toc290903020"/>
      <w:bookmarkStart w:id="70" w:name="_Toc399763978"/>
      <w:r>
        <w:br w:type="page"/>
      </w:r>
    </w:p>
    <w:p w:rsidR="00E64E91" w:rsidRDefault="006B72B5" w:rsidP="00FC2344">
      <w:pPr>
        <w:pStyle w:val="Heading1"/>
      </w:pPr>
      <w:bookmarkStart w:id="71" w:name="_Toc448737425"/>
      <w:r w:rsidRPr="00877491">
        <w:lastRenderedPageBreak/>
        <w:t>7</w:t>
      </w:r>
      <w:r w:rsidR="00E64E91" w:rsidRPr="00825125">
        <w:tab/>
      </w:r>
      <w:bookmarkEnd w:id="69"/>
      <w:r w:rsidRPr="00877491">
        <w:t xml:space="preserve">Care </w:t>
      </w:r>
      <w:r w:rsidR="00C10B3F">
        <w:t>c</w:t>
      </w:r>
      <w:r w:rsidRPr="00877491">
        <w:t>oordination</w:t>
      </w:r>
      <w:bookmarkEnd w:id="70"/>
      <w:bookmarkEnd w:id="71"/>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4D1D65" w:rsidRDefault="00B850E5" w:rsidP="004D1D65">
            <w:pPr>
              <w:pStyle w:val="Heading2"/>
              <w:keepNext w:val="0"/>
              <w:spacing w:before="120"/>
              <w:rPr>
                <w:sz w:val="24"/>
                <w:szCs w:val="24"/>
              </w:rPr>
            </w:pPr>
            <w:bookmarkStart w:id="72" w:name="_Toc448737426"/>
            <w:r w:rsidRPr="004D1D65">
              <w:rPr>
                <w:sz w:val="24"/>
                <w:szCs w:val="24"/>
              </w:rPr>
              <w:t xml:space="preserve">Standard </w:t>
            </w:r>
            <w:r w:rsidR="004D1D65" w:rsidRPr="004D1D65">
              <w:rPr>
                <w:sz w:val="24"/>
                <w:szCs w:val="24"/>
              </w:rPr>
              <w:t>7</w:t>
            </w:r>
            <w:r w:rsidRPr="004D1D65">
              <w:rPr>
                <w:sz w:val="24"/>
                <w:szCs w:val="24"/>
              </w:rPr>
              <w:t>.1</w:t>
            </w:r>
            <w:bookmarkEnd w:id="72"/>
          </w:p>
        </w:tc>
        <w:tc>
          <w:tcPr>
            <w:tcW w:w="6095" w:type="dxa"/>
            <w:shd w:val="clear" w:color="auto" w:fill="auto"/>
          </w:tcPr>
          <w:p w:rsidR="00B850E5" w:rsidRPr="006E7C35" w:rsidRDefault="004D1D65" w:rsidP="00640EE6">
            <w:pPr>
              <w:pStyle w:val="TableText"/>
            </w:pPr>
            <w:r w:rsidRPr="00CA26CF">
              <w:t xml:space="preserve">All patients with suspected lung cancer should have a nominated point of contact, ideally a nurse who specialises in cancer care, to </w:t>
            </w:r>
            <w:r>
              <w:t xml:space="preserve">arrange for provision of </w:t>
            </w:r>
            <w:r w:rsidRPr="00CA26CF">
              <w:t xml:space="preserve">psychosocial support, information and coordination of </w:t>
            </w:r>
            <w:r>
              <w:t>their journey.</w:t>
            </w:r>
          </w:p>
        </w:tc>
      </w:tr>
    </w:tbl>
    <w:p w:rsidR="004D1D65" w:rsidRPr="007F36E4" w:rsidRDefault="004D1D65" w:rsidP="004D1D65">
      <w:pPr>
        <w:pStyle w:val="Heading3"/>
        <w:rPr>
          <w:rFonts w:eastAsia="Calibri"/>
          <w:lang w:eastAsia="en-NZ"/>
        </w:rPr>
      </w:pPr>
      <w:r>
        <w:rPr>
          <w:rFonts w:eastAsia="Calibri"/>
          <w:lang w:eastAsia="en-NZ"/>
        </w:rPr>
        <w:t>Rationale</w:t>
      </w:r>
    </w:p>
    <w:p w:rsidR="004D1D65" w:rsidRDefault="004D1D65" w:rsidP="004D1D65">
      <w:r w:rsidRPr="000759DB">
        <w:t>The cancer journey is complex</w:t>
      </w:r>
      <w:r>
        <w:t>;</w:t>
      </w:r>
      <w:r w:rsidRPr="000759DB">
        <w:t xml:space="preserve"> it is not uncommon for </w:t>
      </w:r>
      <w:r>
        <w:t xml:space="preserve">a </w:t>
      </w:r>
      <w:r w:rsidRPr="000759DB">
        <w:t>patient to be seen by many specialists within and across multiple DHBs and across the public and private sectors.</w:t>
      </w:r>
    </w:p>
    <w:p w:rsidR="004D1D65" w:rsidRPr="000759DB" w:rsidRDefault="004D1D65" w:rsidP="004D1D65">
      <w:r w:rsidRPr="000759DB">
        <w:t xml:space="preserve">Care coordination </w:t>
      </w:r>
      <w:r>
        <w:t>refers to</w:t>
      </w:r>
      <w:r w:rsidRPr="000759DB">
        <w:t xml:space="preserve"> a system or a role primarily intended to expedite patient access to services and resources, improve communication and the transfer of information between services, address patients</w:t>
      </w:r>
      <w:r>
        <w:t>’</w:t>
      </w:r>
      <w:r w:rsidRPr="000759DB">
        <w:t xml:space="preserve"> informational needs and improve continuity and coordination of care throughout the cancer continuum. Services need to ensure they have strategies in place that improv</w:t>
      </w:r>
      <w:r>
        <w:t>e</w:t>
      </w:r>
      <w:r w:rsidRPr="000759DB">
        <w:t xml:space="preserve"> </w:t>
      </w:r>
      <w:r>
        <w:t xml:space="preserve">the </w:t>
      </w:r>
      <w:r w:rsidRPr="000759DB">
        <w:t>coordination of care.</w:t>
      </w:r>
      <w:r>
        <w:t xml:space="preserve"> Care coordination is the responsibility of the entire multidisciplinary team.</w:t>
      </w:r>
    </w:p>
    <w:p w:rsidR="004D1D65" w:rsidRPr="00F871D8" w:rsidRDefault="004D1D65" w:rsidP="004D1D65">
      <w:r>
        <w:t>One person</w:t>
      </w:r>
      <w:r w:rsidRPr="000759DB">
        <w:t xml:space="preserve"> should </w:t>
      </w:r>
      <w:r>
        <w:t xml:space="preserve">available as </w:t>
      </w:r>
      <w:r w:rsidRPr="000759DB">
        <w:t>a single point of contact for patients and caregivers through the various sta</w:t>
      </w:r>
      <w:r>
        <w:t>ges of the lung cancer journey.</w:t>
      </w:r>
    </w:p>
    <w:p w:rsidR="004D1D65" w:rsidRPr="00DE0A80" w:rsidRDefault="004D1D65" w:rsidP="004D1D65">
      <w:pPr>
        <w:pStyle w:val="Heading3"/>
        <w:rPr>
          <w:rFonts w:eastAsia="Calibri"/>
          <w:lang w:eastAsia="en-NZ"/>
        </w:rPr>
      </w:pPr>
      <w:r>
        <w:rPr>
          <w:rFonts w:eastAsia="Calibri"/>
          <w:lang w:eastAsia="en-NZ"/>
        </w:rPr>
        <w:t>How do we measure the standard</w:t>
      </w:r>
    </w:p>
    <w:p w:rsidR="004D1D65" w:rsidRPr="004D1D65" w:rsidRDefault="004D1D65" w:rsidP="004D1D65">
      <w:pPr>
        <w:rPr>
          <w:rFonts w:eastAsia="Calibri"/>
        </w:rPr>
      </w:pPr>
      <w:r w:rsidRPr="00A22F0C">
        <w:rPr>
          <w:rFonts w:eastAsia="Calibri"/>
          <w:b/>
          <w:lang w:eastAsia="en-NZ"/>
        </w:rPr>
        <w:t xml:space="preserve">Numerator: </w:t>
      </w:r>
      <w:r w:rsidRPr="00A22F0C">
        <w:rPr>
          <w:rFonts w:eastAsia="Calibri"/>
          <w:lang w:eastAsia="en-NZ"/>
        </w:rPr>
        <w:t xml:space="preserve">Number of patients </w:t>
      </w:r>
      <w:r>
        <w:rPr>
          <w:rFonts w:eastAsia="Calibri"/>
          <w:lang w:eastAsia="en-NZ"/>
        </w:rPr>
        <w:t xml:space="preserve">triaged </w:t>
      </w:r>
      <w:r w:rsidRPr="00A22F0C">
        <w:rPr>
          <w:rFonts w:eastAsia="Calibri"/>
          <w:lang w:eastAsia="en-NZ"/>
        </w:rPr>
        <w:t>with high suspicion of lung cancer contacted by a cancer nurse within 14 calendar days of referral.</w:t>
      </w:r>
    </w:p>
    <w:p w:rsidR="004D1D65" w:rsidRDefault="004D1D65" w:rsidP="004D1D65">
      <w:pPr>
        <w:rPr>
          <w:rFonts w:eastAsia="Calibri"/>
          <w:lang w:eastAsia="en-NZ"/>
        </w:rPr>
      </w:pPr>
      <w:r w:rsidRPr="00A22F0C">
        <w:rPr>
          <w:rFonts w:eastAsia="Calibri"/>
          <w:b/>
          <w:lang w:eastAsia="en-NZ"/>
        </w:rPr>
        <w:t xml:space="preserve">Denominator: </w:t>
      </w:r>
      <w:r w:rsidRPr="00A22F0C">
        <w:rPr>
          <w:rFonts w:eastAsia="Calibri"/>
          <w:lang w:eastAsia="en-NZ"/>
        </w:rPr>
        <w:t>Total number of high suspicion of lung cancer referrals received.</w:t>
      </w:r>
    </w:p>
    <w:p w:rsidR="004D1D65" w:rsidRPr="00C91C9E" w:rsidRDefault="004D1D65" w:rsidP="004D1D65">
      <w:pPr>
        <w:rPr>
          <w:rFonts w:eastAsia="Calibri"/>
          <w:lang w:eastAsia="en-NZ"/>
        </w:rPr>
      </w:pPr>
      <w:proofErr w:type="gramStart"/>
      <w:r w:rsidRPr="00A22F0C">
        <w:rPr>
          <w:rFonts w:eastAsia="Calibri"/>
          <w:b/>
          <w:lang w:eastAsia="en-NZ"/>
        </w:rPr>
        <w:t>Or</w:t>
      </w:r>
      <w:r w:rsidRPr="00A22F0C">
        <w:rPr>
          <w:rFonts w:eastAsia="Calibri"/>
          <w:lang w:eastAsia="en-NZ"/>
        </w:rPr>
        <w:t xml:space="preserve"> random sample of 20 lung cancer patient records</w:t>
      </w:r>
      <w:r>
        <w:rPr>
          <w:rFonts w:eastAsia="Calibri"/>
          <w:lang w:eastAsia="en-NZ"/>
        </w:rPr>
        <w:t xml:space="preserve"> (to capture acute presentation patients) – </w:t>
      </w:r>
      <w:r w:rsidRPr="00316F92">
        <w:rPr>
          <w:rFonts w:eastAsia="Calibri"/>
          <w:lang w:eastAsia="en-NZ"/>
        </w:rPr>
        <w:t xml:space="preserve">evidence of contact with </w:t>
      </w:r>
      <w:r>
        <w:rPr>
          <w:rFonts w:eastAsia="Calibri"/>
          <w:lang w:eastAsia="en-NZ"/>
        </w:rPr>
        <w:t>clinical nurse specialist or cancer care coordinator within 14 days of referral.</w:t>
      </w:r>
      <w:proofErr w:type="gramEnd"/>
    </w:p>
    <w:p w:rsidR="004D1D65" w:rsidRPr="007F36E4" w:rsidRDefault="004D1D65" w:rsidP="004D1D65">
      <w:pPr>
        <w:pStyle w:val="Heading3"/>
        <w:rPr>
          <w:rFonts w:eastAsia="Calibri"/>
        </w:rPr>
      </w:pPr>
      <w:r>
        <w:rPr>
          <w:rFonts w:eastAsia="Calibri"/>
          <w:lang w:eastAsia="en-NZ"/>
        </w:rPr>
        <w:t>Target</w:t>
      </w:r>
    </w:p>
    <w:p w:rsidR="004D1D65" w:rsidRPr="007F36E4" w:rsidRDefault="004D1D65" w:rsidP="004D1D65">
      <w:pPr>
        <w:rPr>
          <w:rFonts w:eastAsia="Calibri"/>
          <w:lang w:eastAsia="en-NZ"/>
        </w:rPr>
      </w:pPr>
      <w:r>
        <w:rPr>
          <w:rFonts w:eastAsia="Calibri"/>
          <w:lang w:eastAsia="en-NZ"/>
        </w:rPr>
        <w:t>95 percent of patients meet the standard.</w:t>
      </w:r>
    </w:p>
    <w:p w:rsidR="004D1D65" w:rsidRPr="007F36E4" w:rsidRDefault="004D1D65" w:rsidP="004D1D65">
      <w:pPr>
        <w:pStyle w:val="Heading3"/>
        <w:rPr>
          <w:rFonts w:eastAsia="Calibri"/>
        </w:rPr>
      </w:pPr>
      <w:r w:rsidRPr="007F36E4">
        <w:rPr>
          <w:rFonts w:eastAsia="Calibri"/>
        </w:rPr>
        <w:t>Monitoring requirement</w:t>
      </w:r>
    </w:p>
    <w:p w:rsidR="004D1D65" w:rsidRPr="007F36E4" w:rsidRDefault="004D1D65" w:rsidP="004D1D65">
      <w:pPr>
        <w:rPr>
          <w:rFonts w:eastAsia="Calibri"/>
        </w:rPr>
      </w:pPr>
      <w:r>
        <w:rPr>
          <w:rFonts w:eastAsia="Calibri"/>
        </w:rPr>
        <w:t>Annual report to regional cancer network and regional lung cancer work group.</w:t>
      </w:r>
    </w:p>
    <w:p w:rsidR="00E64E91" w:rsidRPr="00282ABF" w:rsidRDefault="00E64E91" w:rsidP="004D1D65">
      <w:pPr>
        <w:pStyle w:val="Heading2"/>
      </w:pPr>
      <w:bookmarkStart w:id="73" w:name="_Toc297732872"/>
      <w:bookmarkStart w:id="74" w:name="_Toc399763980"/>
      <w:bookmarkStart w:id="75" w:name="_Toc418254530"/>
      <w:bookmarkStart w:id="76" w:name="_Toc448737427"/>
      <w:r w:rsidRPr="00282ABF">
        <w:lastRenderedPageBreak/>
        <w:t>Good practice points</w:t>
      </w:r>
      <w:bookmarkEnd w:id="73"/>
      <w:bookmarkEnd w:id="74"/>
      <w:bookmarkEnd w:id="75"/>
      <w:bookmarkEnd w:id="76"/>
    </w:p>
    <w:p w:rsidR="004207B6" w:rsidRDefault="00070AFA" w:rsidP="004D1D65">
      <w:pPr>
        <w:ind w:left="851" w:hanging="851"/>
      </w:pPr>
      <w:r>
        <w:t>7.1.1</w:t>
      </w:r>
      <w:r>
        <w:tab/>
      </w:r>
      <w:r w:rsidR="00873A43" w:rsidRPr="000759DB">
        <w:t xml:space="preserve">All regional cancer centres </w:t>
      </w:r>
      <w:r w:rsidR="00873A43">
        <w:t>should</w:t>
      </w:r>
      <w:r w:rsidR="00873A43" w:rsidRPr="000759DB">
        <w:t xml:space="preserve"> </w:t>
      </w:r>
      <w:r w:rsidR="00FE26A8">
        <w:t>employ</w:t>
      </w:r>
      <w:r w:rsidR="00FE26A8" w:rsidRPr="000759DB">
        <w:t xml:space="preserve"> </w:t>
      </w:r>
      <w:r w:rsidR="00873A43" w:rsidRPr="000759DB">
        <w:t>a dedicat</w:t>
      </w:r>
      <w:r w:rsidR="00877491">
        <w:t>ed lung cancer nurse specialist</w:t>
      </w:r>
      <w:r w:rsidR="004207B6">
        <w:t>.</w:t>
      </w:r>
    </w:p>
    <w:p w:rsidR="00873A43" w:rsidRDefault="00873A43" w:rsidP="004D1D65">
      <w:pPr>
        <w:ind w:left="851" w:hanging="851"/>
      </w:pPr>
      <w:r>
        <w:t>7.</w:t>
      </w:r>
      <w:r w:rsidR="00070AFA">
        <w:t>1.</w:t>
      </w:r>
      <w:r>
        <w:t>2</w:t>
      </w:r>
      <w:r w:rsidRPr="000759DB">
        <w:tab/>
      </w:r>
      <w:r w:rsidR="00F83B02">
        <w:t>The person acting as the point of contact should keep each p</w:t>
      </w:r>
      <w:r w:rsidRPr="000759DB">
        <w:t>atient</w:t>
      </w:r>
      <w:r>
        <w:t xml:space="preserve"> </w:t>
      </w:r>
      <w:r w:rsidRPr="000759DB">
        <w:t xml:space="preserve">informed </w:t>
      </w:r>
      <w:r>
        <w:t xml:space="preserve">about </w:t>
      </w:r>
      <w:r w:rsidRPr="000759DB">
        <w:t>all the processes involved in diagnosing and treating lung cancer, in a manner appropriate to their individual needs.</w:t>
      </w:r>
    </w:p>
    <w:p w:rsidR="002D0608" w:rsidRDefault="00873A43" w:rsidP="004D1D65">
      <w:pPr>
        <w:ind w:left="851" w:hanging="851"/>
      </w:pPr>
      <w:r>
        <w:t>7.</w:t>
      </w:r>
      <w:r w:rsidR="00070AFA">
        <w:t>1.</w:t>
      </w:r>
      <w:r w:rsidR="00B366B4">
        <w:t>3</w:t>
      </w:r>
      <w:r>
        <w:tab/>
        <w:t>The information, treatment and care patients are given should be culturally appropriate.</w:t>
      </w:r>
    </w:p>
    <w:p w:rsidR="00877491" w:rsidRPr="00877491" w:rsidRDefault="00E64E91" w:rsidP="004D1D65">
      <w:pPr>
        <w:pStyle w:val="Heading1"/>
      </w:pPr>
      <w:r w:rsidRPr="000759DB">
        <w:rPr>
          <w:sz w:val="22"/>
        </w:rPr>
        <w:br w:type="page"/>
      </w:r>
      <w:bookmarkStart w:id="77" w:name="_Toc290903021"/>
      <w:bookmarkStart w:id="78" w:name="_Toc399763982"/>
      <w:bookmarkStart w:id="79" w:name="_Toc448737428"/>
      <w:r w:rsidR="006B72B5">
        <w:lastRenderedPageBreak/>
        <w:t>8</w:t>
      </w:r>
      <w:r w:rsidRPr="00577E3A">
        <w:tab/>
      </w:r>
      <w:bookmarkEnd w:id="77"/>
      <w:r w:rsidR="006B72B5">
        <w:t>Treatment</w:t>
      </w:r>
      <w:bookmarkEnd w:id="78"/>
      <w:bookmarkEnd w:id="79"/>
    </w:p>
    <w:p w:rsidR="00E64E91" w:rsidRPr="000759DB" w:rsidRDefault="003A7FB0" w:rsidP="004D1D65">
      <w:r>
        <w:t xml:space="preserve">The NLCWG recognises that </w:t>
      </w:r>
      <w:r w:rsidR="00E64E91" w:rsidRPr="000759DB">
        <w:t>timely active anti</w:t>
      </w:r>
      <w:r w:rsidR="00E64E91">
        <w:t>-</w:t>
      </w:r>
      <w:r w:rsidR="00E64E91" w:rsidRPr="000759DB">
        <w:t xml:space="preserve">cancer treatment is </w:t>
      </w:r>
      <w:r>
        <w:t xml:space="preserve">fundamental. However, the group has not defined specific standards for active treatment. Instead, it has incorporated the principle of timeliness </w:t>
      </w:r>
      <w:r w:rsidR="00E64E91" w:rsidRPr="000759DB">
        <w:t>in the 62</w:t>
      </w:r>
      <w:r>
        <w:t>-</w:t>
      </w:r>
      <w:r w:rsidR="00E64E91" w:rsidRPr="000759DB">
        <w:t>calendar</w:t>
      </w:r>
      <w:r>
        <w:t>-</w:t>
      </w:r>
      <w:r w:rsidR="00E64E91" w:rsidRPr="000759DB">
        <w:t>day wait</w:t>
      </w:r>
      <w:r w:rsidR="00E64E91">
        <w:t>ing</w:t>
      </w:r>
      <w:r w:rsidR="00E64E91" w:rsidRPr="000759DB">
        <w:t xml:space="preserve"> time target between </w:t>
      </w:r>
      <w:r w:rsidR="00295E5B" w:rsidRPr="000759DB">
        <w:t>recei</w:t>
      </w:r>
      <w:r w:rsidR="00295E5B">
        <w:t xml:space="preserve">pt of </w:t>
      </w:r>
      <w:r w:rsidR="00E64E91">
        <w:t xml:space="preserve">a </w:t>
      </w:r>
      <w:r w:rsidR="00E64E91" w:rsidRPr="000759DB">
        <w:t>referral and start of treatment (</w:t>
      </w:r>
      <w:r w:rsidR="00E64E91">
        <w:t>s</w:t>
      </w:r>
      <w:r w:rsidR="00DA1A93">
        <w:t>ee Standard</w:t>
      </w:r>
      <w:r w:rsidR="004D1D65">
        <w:t> </w:t>
      </w:r>
      <w:r w:rsidR="00DA1A93">
        <w:t>2</w:t>
      </w:r>
      <w:r>
        <w:t>.1</w:t>
      </w:r>
      <w:r w:rsidR="00E64E91" w:rsidRPr="000759DB">
        <w:t>).</w:t>
      </w:r>
    </w:p>
    <w:p w:rsidR="00081915" w:rsidRDefault="00E64E91" w:rsidP="004D1D65">
      <w:r w:rsidRPr="000759DB">
        <w:t xml:space="preserve">The degree of benefit </w:t>
      </w:r>
      <w:r w:rsidR="003A7FB0">
        <w:t xml:space="preserve">of treatment for a particular patient </w:t>
      </w:r>
      <w:r w:rsidRPr="000759DB">
        <w:t xml:space="preserve">varies according to prognostic factors and performance status. The most significant gains in improved outcomes will be </w:t>
      </w:r>
      <w:r w:rsidR="003A7FB0">
        <w:t xml:space="preserve">in patients </w:t>
      </w:r>
      <w:r w:rsidRPr="000759DB">
        <w:t>with early</w:t>
      </w:r>
      <w:r>
        <w:t>-</w:t>
      </w:r>
      <w:r w:rsidRPr="000759DB">
        <w:t xml:space="preserve">stage </w:t>
      </w:r>
      <w:r w:rsidR="00C61BB7">
        <w:t xml:space="preserve">NSCLC </w:t>
      </w:r>
      <w:r w:rsidRPr="000759DB">
        <w:t>and small</w:t>
      </w:r>
      <w:r>
        <w:t>-</w:t>
      </w:r>
      <w:r w:rsidRPr="000759DB">
        <w:t>cell lung cancer</w:t>
      </w:r>
      <w:r>
        <w:t>,</w:t>
      </w:r>
      <w:r w:rsidRPr="000759DB">
        <w:t xml:space="preserve"> and therefore </w:t>
      </w:r>
      <w:r w:rsidR="003A7FB0">
        <w:t xml:space="preserve">practitioners should prioritise </w:t>
      </w:r>
      <w:r w:rsidRPr="000759DB">
        <w:t>these patients for treatment.</w:t>
      </w:r>
      <w:bookmarkStart w:id="80" w:name="_Toc297732875"/>
      <w:bookmarkStart w:id="81" w:name="_Toc399763983"/>
    </w:p>
    <w:p w:rsidR="0098397D" w:rsidRDefault="0098397D" w:rsidP="00B23817">
      <w:pPr>
        <w:spacing w:after="120"/>
        <w:rPr>
          <w:b/>
        </w:rPr>
      </w:pPr>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4D1D65" w:rsidRDefault="00B850E5" w:rsidP="004D1D65">
            <w:pPr>
              <w:pStyle w:val="Heading2"/>
              <w:keepNext w:val="0"/>
              <w:spacing w:before="120"/>
              <w:rPr>
                <w:sz w:val="24"/>
                <w:szCs w:val="24"/>
              </w:rPr>
            </w:pPr>
            <w:bookmarkStart w:id="82" w:name="_Toc448737429"/>
            <w:r w:rsidRPr="004D1D65">
              <w:rPr>
                <w:sz w:val="24"/>
                <w:szCs w:val="24"/>
              </w:rPr>
              <w:t xml:space="preserve">Standard </w:t>
            </w:r>
            <w:r w:rsidR="004D1D65" w:rsidRPr="004D1D65">
              <w:rPr>
                <w:sz w:val="24"/>
                <w:szCs w:val="24"/>
              </w:rPr>
              <w:t>8</w:t>
            </w:r>
            <w:r w:rsidRPr="004D1D65">
              <w:rPr>
                <w:sz w:val="24"/>
                <w:szCs w:val="24"/>
              </w:rPr>
              <w:t>.1</w:t>
            </w:r>
            <w:bookmarkEnd w:id="82"/>
          </w:p>
        </w:tc>
        <w:tc>
          <w:tcPr>
            <w:tcW w:w="6095" w:type="dxa"/>
            <w:shd w:val="clear" w:color="auto" w:fill="auto"/>
          </w:tcPr>
          <w:p w:rsidR="00B850E5" w:rsidRPr="006E7C35" w:rsidRDefault="004D1D65" w:rsidP="00640EE6">
            <w:pPr>
              <w:pStyle w:val="TableText"/>
            </w:pPr>
            <w:r w:rsidRPr="00E7569B">
              <w:t xml:space="preserve">Patients </w:t>
            </w:r>
            <w:r w:rsidRPr="000759DB">
              <w:t xml:space="preserve">who cannot be offered curative treatment, </w:t>
            </w:r>
            <w:r>
              <w:t xml:space="preserve">or who decline curative treatment, </w:t>
            </w:r>
            <w:r w:rsidRPr="000759DB">
              <w:t xml:space="preserve">as well as those with </w:t>
            </w:r>
            <w:r>
              <w:t xml:space="preserve">a </w:t>
            </w:r>
            <w:r w:rsidRPr="000759DB">
              <w:t>significant symptom burden, should be offered early access to palliative care services</w:t>
            </w:r>
            <w:r>
              <w:t>.</w:t>
            </w:r>
          </w:p>
        </w:tc>
      </w:tr>
    </w:tbl>
    <w:p w:rsidR="004D1D65" w:rsidRPr="007F36E4" w:rsidRDefault="004D1D65" w:rsidP="004D1D65">
      <w:pPr>
        <w:pStyle w:val="Heading3"/>
        <w:rPr>
          <w:rFonts w:eastAsia="Calibri"/>
          <w:lang w:eastAsia="en-NZ"/>
        </w:rPr>
      </w:pPr>
      <w:r>
        <w:rPr>
          <w:rFonts w:eastAsia="Calibri"/>
          <w:lang w:eastAsia="en-NZ"/>
        </w:rPr>
        <w:t>Rationale</w:t>
      </w:r>
    </w:p>
    <w:p w:rsidR="004D1D65" w:rsidRPr="0054020A" w:rsidRDefault="004D1D65" w:rsidP="004D1D65">
      <w:r>
        <w:t xml:space="preserve">The role of </w:t>
      </w:r>
      <w:r w:rsidRPr="000759DB">
        <w:t>palliative care in patients with lung cancer</w:t>
      </w:r>
      <w:r>
        <w:t xml:space="preserve"> is particularly important</w:t>
      </w:r>
      <w:r w:rsidRPr="000759DB">
        <w:t>.</w:t>
      </w:r>
      <w:r>
        <w:t xml:space="preserve"> </w:t>
      </w:r>
      <w:r w:rsidRPr="000759DB">
        <w:t>The majority of patients with lung cancer will ultimately die of their disease</w:t>
      </w:r>
      <w:r>
        <w:t>;</w:t>
      </w:r>
      <w:r w:rsidRPr="000759DB">
        <w:t xml:space="preserve"> </w:t>
      </w:r>
      <w:r>
        <w:t>m</w:t>
      </w:r>
      <w:r w:rsidRPr="000759DB">
        <w:t xml:space="preserve">ost experience </w:t>
      </w:r>
      <w:r>
        <w:t xml:space="preserve">a </w:t>
      </w:r>
      <w:r w:rsidRPr="000759DB">
        <w:t>significant symptom burden during their cancer journey</w:t>
      </w:r>
      <w:r>
        <w:t xml:space="preserve">. </w:t>
      </w:r>
      <w:r w:rsidRPr="000759DB">
        <w:t xml:space="preserve">Palliative care interventions can prolong survival in </w:t>
      </w:r>
      <w:r>
        <w:t>patients with NSCLC.</w:t>
      </w:r>
    </w:p>
    <w:p w:rsidR="004D1D65" w:rsidRPr="00AF6474" w:rsidRDefault="004D1D65" w:rsidP="004D1D65">
      <w:pPr>
        <w:pStyle w:val="Heading3"/>
        <w:rPr>
          <w:rFonts w:eastAsia="Calibri"/>
          <w:lang w:eastAsia="en-NZ"/>
        </w:rPr>
      </w:pPr>
      <w:r>
        <w:rPr>
          <w:rFonts w:eastAsia="Calibri"/>
          <w:lang w:eastAsia="en-NZ"/>
        </w:rPr>
        <w:t>How do we measure the standard</w:t>
      </w:r>
    </w:p>
    <w:p w:rsidR="004D1D65" w:rsidRDefault="004D1D65" w:rsidP="004D1D65">
      <w:pPr>
        <w:rPr>
          <w:rFonts w:eastAsia="Calibri"/>
          <w:lang w:eastAsia="en-NZ"/>
        </w:rPr>
      </w:pPr>
      <w:r w:rsidRPr="003156F5">
        <w:rPr>
          <w:rFonts w:eastAsia="Calibri"/>
          <w:b/>
          <w:lang w:eastAsia="en-NZ"/>
        </w:rPr>
        <w:t>Numerator:</w:t>
      </w:r>
      <w:r w:rsidRPr="003156F5">
        <w:rPr>
          <w:rFonts w:eastAsia="Calibri"/>
          <w:lang w:eastAsia="en-NZ"/>
        </w:rPr>
        <w:t xml:space="preserve"> </w:t>
      </w:r>
      <w:r>
        <w:rPr>
          <w:rFonts w:eastAsia="Calibri"/>
          <w:lang w:eastAsia="en-NZ"/>
        </w:rPr>
        <w:t>Number of patients referred</w:t>
      </w:r>
      <w:r w:rsidRPr="003156F5">
        <w:rPr>
          <w:rFonts w:eastAsia="Calibri"/>
          <w:lang w:eastAsia="en-NZ"/>
        </w:rPr>
        <w:t xml:space="preserve"> from </w:t>
      </w:r>
      <w:r>
        <w:rPr>
          <w:rFonts w:eastAsia="Calibri"/>
          <w:lang w:eastAsia="en-NZ"/>
        </w:rPr>
        <w:t xml:space="preserve">a </w:t>
      </w:r>
      <w:r w:rsidRPr="003156F5">
        <w:rPr>
          <w:rFonts w:eastAsia="Calibri"/>
          <w:lang w:eastAsia="en-NZ"/>
        </w:rPr>
        <w:t xml:space="preserve">secondary/tertiary service </w:t>
      </w:r>
      <w:r>
        <w:rPr>
          <w:rFonts w:eastAsia="Calibri"/>
          <w:lang w:eastAsia="en-NZ"/>
        </w:rPr>
        <w:t>for</w:t>
      </w:r>
      <w:r w:rsidRPr="003156F5">
        <w:rPr>
          <w:rFonts w:eastAsia="Calibri"/>
          <w:lang w:eastAsia="en-NZ"/>
        </w:rPr>
        <w:t xml:space="preserve"> specialist palliative care for symptom management</w:t>
      </w:r>
      <w:r>
        <w:rPr>
          <w:rFonts w:eastAsia="Calibri"/>
          <w:lang w:eastAsia="en-NZ"/>
        </w:rPr>
        <w:t>.</w:t>
      </w:r>
    </w:p>
    <w:p w:rsidR="004D1D65" w:rsidRDefault="004D1D65" w:rsidP="004D1D65">
      <w:pPr>
        <w:rPr>
          <w:rFonts w:eastAsia="Calibri"/>
          <w:lang w:eastAsia="en-NZ"/>
        </w:rPr>
      </w:pPr>
      <w:r w:rsidRPr="005D6F29">
        <w:rPr>
          <w:rFonts w:eastAsia="Calibri"/>
          <w:b/>
          <w:lang w:eastAsia="en-NZ"/>
        </w:rPr>
        <w:t>Denominator:</w:t>
      </w:r>
      <w:r w:rsidRPr="004207B6">
        <w:rPr>
          <w:rFonts w:eastAsia="Calibri"/>
          <w:lang w:eastAsia="en-NZ"/>
        </w:rPr>
        <w:t xml:space="preserve"> Number of patients shown to have died from lung cancer.</w:t>
      </w:r>
    </w:p>
    <w:p w:rsidR="004D1D65" w:rsidRPr="00C91C9E" w:rsidRDefault="004D1D65" w:rsidP="004D1D65">
      <w:pPr>
        <w:rPr>
          <w:rFonts w:eastAsia="Calibri"/>
          <w:lang w:eastAsia="en-NZ"/>
        </w:rPr>
      </w:pPr>
      <w:r>
        <w:rPr>
          <w:rFonts w:eastAsia="Calibri"/>
          <w:b/>
          <w:lang w:eastAsia="en-NZ"/>
        </w:rPr>
        <w:t xml:space="preserve">Or </w:t>
      </w:r>
      <w:r>
        <w:rPr>
          <w:rFonts w:eastAsia="Calibri"/>
          <w:lang w:eastAsia="en-NZ"/>
        </w:rPr>
        <w:t>evidence found in r</w:t>
      </w:r>
      <w:r w:rsidRPr="00377E46">
        <w:rPr>
          <w:rFonts w:eastAsia="Calibri"/>
          <w:lang w:eastAsia="en-NZ"/>
        </w:rPr>
        <w:t>andom sample of 20 patient</w:t>
      </w:r>
      <w:r>
        <w:rPr>
          <w:rFonts w:eastAsia="Calibri"/>
          <w:lang w:eastAsia="en-NZ"/>
        </w:rPr>
        <w:t xml:space="preserve"> records of </w:t>
      </w:r>
      <w:r w:rsidRPr="00316F92">
        <w:rPr>
          <w:rFonts w:eastAsia="Calibri"/>
          <w:lang w:eastAsia="en-NZ"/>
        </w:rPr>
        <w:t xml:space="preserve">patients </w:t>
      </w:r>
      <w:r>
        <w:rPr>
          <w:rFonts w:eastAsia="Calibri"/>
          <w:lang w:eastAsia="en-NZ"/>
        </w:rPr>
        <w:t>kn</w:t>
      </w:r>
      <w:r w:rsidRPr="00316F92">
        <w:rPr>
          <w:rFonts w:eastAsia="Calibri"/>
          <w:lang w:eastAsia="en-NZ"/>
        </w:rPr>
        <w:t>own</w:t>
      </w:r>
      <w:r w:rsidRPr="00377E46">
        <w:rPr>
          <w:rFonts w:eastAsia="Calibri"/>
          <w:lang w:eastAsia="en-NZ"/>
        </w:rPr>
        <w:t xml:space="preserve"> to have died from lung cancer</w:t>
      </w:r>
      <w:r>
        <w:rPr>
          <w:rFonts w:eastAsia="Calibri"/>
          <w:lang w:eastAsia="en-NZ"/>
        </w:rPr>
        <w:t>.</w:t>
      </w:r>
    </w:p>
    <w:p w:rsidR="004D1D65" w:rsidRPr="00653790" w:rsidRDefault="004D1D65" w:rsidP="004D1D65">
      <w:pPr>
        <w:pStyle w:val="Heading3"/>
        <w:rPr>
          <w:rFonts w:eastAsia="Calibri"/>
          <w:lang w:eastAsia="en-NZ"/>
        </w:rPr>
      </w:pPr>
      <w:r>
        <w:rPr>
          <w:rFonts w:eastAsia="Calibri"/>
          <w:lang w:eastAsia="en-NZ"/>
        </w:rPr>
        <w:t>Target</w:t>
      </w:r>
    </w:p>
    <w:p w:rsidR="004D1D65" w:rsidRPr="007F36E4" w:rsidRDefault="004D1D65" w:rsidP="004D1D65">
      <w:pPr>
        <w:rPr>
          <w:rFonts w:eastAsia="Calibri"/>
          <w:lang w:eastAsia="en-NZ"/>
        </w:rPr>
      </w:pPr>
      <w:r>
        <w:rPr>
          <w:rFonts w:eastAsia="Calibri"/>
          <w:lang w:eastAsia="en-NZ"/>
        </w:rPr>
        <w:t>95 percent of patients meet the standard.</w:t>
      </w:r>
    </w:p>
    <w:p w:rsidR="004D1D65" w:rsidRPr="007F36E4" w:rsidRDefault="004D1D65" w:rsidP="004D1D65">
      <w:pPr>
        <w:pStyle w:val="Heading3"/>
        <w:rPr>
          <w:rFonts w:eastAsia="Calibri"/>
        </w:rPr>
      </w:pPr>
      <w:r w:rsidRPr="007F36E4">
        <w:rPr>
          <w:rFonts w:eastAsia="Calibri"/>
        </w:rPr>
        <w:t>Monitoring requirement</w:t>
      </w:r>
    </w:p>
    <w:p w:rsidR="004D1D65" w:rsidRPr="007F36E4" w:rsidRDefault="004D1D65" w:rsidP="004D1D65">
      <w:pPr>
        <w:rPr>
          <w:rFonts w:eastAsia="Calibri"/>
        </w:rPr>
      </w:pPr>
      <w:r>
        <w:rPr>
          <w:rFonts w:eastAsia="Calibri"/>
        </w:rPr>
        <w:t>Annual report to regional cancer network and regional lung cancer work group.</w:t>
      </w:r>
    </w:p>
    <w:p w:rsidR="00992568" w:rsidRDefault="00992568" w:rsidP="004D1D65">
      <w:pPr>
        <w:pStyle w:val="Heading2"/>
      </w:pPr>
      <w:bookmarkStart w:id="83" w:name="_Toc399763985"/>
      <w:bookmarkStart w:id="84" w:name="_Toc448737430"/>
      <w:r w:rsidRPr="003E290F">
        <w:lastRenderedPageBreak/>
        <w:t>Good practice points</w:t>
      </w:r>
      <w:bookmarkEnd w:id="83"/>
      <w:bookmarkEnd w:id="84"/>
    </w:p>
    <w:p w:rsidR="002D0608" w:rsidRDefault="0029478A" w:rsidP="004D1D65">
      <w:r>
        <w:t>G</w:t>
      </w:r>
      <w:r w:rsidR="00E2315F" w:rsidRPr="000759DB">
        <w:t xml:space="preserve">ood </w:t>
      </w:r>
      <w:r w:rsidR="00E2315F">
        <w:t xml:space="preserve">practice points </w:t>
      </w:r>
      <w:r>
        <w:t xml:space="preserve">for this cluster are grouped under the headings </w:t>
      </w:r>
      <w:r w:rsidR="002D0608">
        <w:t>‘</w:t>
      </w:r>
      <w:r>
        <w:t>palliative care</w:t>
      </w:r>
      <w:r w:rsidR="002D0608">
        <w:t>’</w:t>
      </w:r>
      <w:r>
        <w:t xml:space="preserve">, </w:t>
      </w:r>
      <w:r w:rsidR="002D0608">
        <w:t>‘</w:t>
      </w:r>
      <w:r>
        <w:t>surgery</w:t>
      </w:r>
      <w:r w:rsidR="002D0608">
        <w:t>’</w:t>
      </w:r>
      <w:r>
        <w:t xml:space="preserve">, </w:t>
      </w:r>
      <w:r w:rsidR="002D0608">
        <w:t>‘</w:t>
      </w:r>
      <w:r>
        <w:t>radiation oncology</w:t>
      </w:r>
      <w:r w:rsidR="002D0608">
        <w:t>’</w:t>
      </w:r>
      <w:r>
        <w:t xml:space="preserve"> and </w:t>
      </w:r>
      <w:r w:rsidR="002D0608">
        <w:t>‘</w:t>
      </w:r>
      <w:r>
        <w:t>systemic therapy</w:t>
      </w:r>
      <w:r w:rsidR="002D0608">
        <w:t>’</w:t>
      </w:r>
      <w:r w:rsidR="00AF6474">
        <w:t>.</w:t>
      </w:r>
    </w:p>
    <w:p w:rsidR="00992568" w:rsidRDefault="00AF6474" w:rsidP="004D1D65">
      <w:pPr>
        <w:pStyle w:val="Heading3"/>
      </w:pPr>
      <w:r>
        <w:t>Palliative care</w:t>
      </w:r>
    </w:p>
    <w:p w:rsidR="00992568" w:rsidRPr="00877491" w:rsidRDefault="00E2315F" w:rsidP="004D1D65">
      <w:pPr>
        <w:ind w:left="851" w:hanging="851"/>
      </w:pPr>
      <w:r>
        <w:t>8.</w:t>
      </w:r>
      <w:r w:rsidR="00992568">
        <w:t>1.1</w:t>
      </w:r>
      <w:r w:rsidR="00992568">
        <w:tab/>
      </w:r>
      <w:r w:rsidR="00992568" w:rsidRPr="000759DB">
        <w:t xml:space="preserve">Most patients with lung cancer would benefit from a palliative care team </w:t>
      </w:r>
      <w:r w:rsidR="00992568">
        <w:t xml:space="preserve">helping with </w:t>
      </w:r>
      <w:r w:rsidR="00992568" w:rsidRPr="000759DB">
        <w:t>symptom</w:t>
      </w:r>
      <w:r w:rsidR="00992568">
        <w:t xml:space="preserve"> </w:t>
      </w:r>
      <w:r w:rsidR="00992568" w:rsidRPr="000759DB">
        <w:t>management, psychosocial support a</w:t>
      </w:r>
      <w:r w:rsidR="00877491">
        <w:t>nd attention to spiritual needs</w:t>
      </w:r>
      <w:r w:rsidR="00282ABF">
        <w:t>.</w:t>
      </w:r>
    </w:p>
    <w:p w:rsidR="00E2315F" w:rsidRDefault="00992568" w:rsidP="004D1D65">
      <w:pPr>
        <w:ind w:left="851" w:hanging="851"/>
      </w:pPr>
      <w:r>
        <w:t>8</w:t>
      </w:r>
      <w:r w:rsidRPr="000759DB">
        <w:t>.</w:t>
      </w:r>
      <w:r>
        <w:t>1.2</w:t>
      </w:r>
      <w:r>
        <w:tab/>
      </w:r>
      <w:r w:rsidR="002822EC">
        <w:t>Palliative care should be provided by a patient</w:t>
      </w:r>
      <w:r w:rsidR="002D0608">
        <w:t>’</w:t>
      </w:r>
      <w:r w:rsidR="002822EC">
        <w:t xml:space="preserve">s </w:t>
      </w:r>
      <w:r w:rsidR="00BA7192">
        <w:t>lead practitioner</w:t>
      </w:r>
      <w:r w:rsidR="002822EC">
        <w:t xml:space="preserve"> and</w:t>
      </w:r>
      <w:r w:rsidR="00BA7192">
        <w:t>,</w:t>
      </w:r>
      <w:r w:rsidR="002822EC">
        <w:t xml:space="preserve"> when assessed as necessary,</w:t>
      </w:r>
      <w:r w:rsidR="00580C95">
        <w:t xml:space="preserve"> </w:t>
      </w:r>
      <w:r w:rsidR="00BA7192">
        <w:t xml:space="preserve">a </w:t>
      </w:r>
      <w:r w:rsidRPr="000759DB">
        <w:t>specialist palliati</w:t>
      </w:r>
      <w:r w:rsidR="00877491">
        <w:t>ve care provider</w:t>
      </w:r>
      <w:r w:rsidR="002822EC">
        <w:t>.</w:t>
      </w:r>
    </w:p>
    <w:p w:rsidR="00992568" w:rsidRPr="000759DB" w:rsidRDefault="00E2315F" w:rsidP="004D1D65">
      <w:pPr>
        <w:ind w:left="851" w:hanging="851"/>
      </w:pPr>
      <w:r>
        <w:t>8.1.3</w:t>
      </w:r>
      <w:r>
        <w:tab/>
      </w:r>
      <w:r w:rsidR="00992568" w:rsidRPr="000759DB">
        <w:t>P</w:t>
      </w:r>
      <w:r w:rsidR="0029478A">
        <w:t>ractitioners should identify p</w:t>
      </w:r>
      <w:r w:rsidR="00992568" w:rsidRPr="000759DB">
        <w:t xml:space="preserve">atients who may benefit from specialist palliative care services </w:t>
      </w:r>
      <w:r w:rsidR="00877491">
        <w:t xml:space="preserve">and refer </w:t>
      </w:r>
      <w:r w:rsidR="0029478A">
        <w:t xml:space="preserve">them </w:t>
      </w:r>
      <w:r w:rsidR="00877491">
        <w:t>without delay</w:t>
      </w:r>
      <w:r w:rsidR="00FE26A8">
        <w:t>.</w:t>
      </w:r>
    </w:p>
    <w:p w:rsidR="00992568" w:rsidRDefault="00992568" w:rsidP="004D1D65">
      <w:pPr>
        <w:ind w:left="851" w:hanging="851"/>
      </w:pPr>
      <w:r>
        <w:t>8</w:t>
      </w:r>
      <w:r w:rsidR="00E2315F">
        <w:t>.</w:t>
      </w:r>
      <w:r>
        <w:t>1.4</w:t>
      </w:r>
      <w:r>
        <w:tab/>
        <w:t>An i</w:t>
      </w:r>
      <w:r w:rsidRPr="000759DB">
        <w:t>ntegrated care pathway for the dying should be implemented in hospitals, hospices and other care settings (</w:t>
      </w:r>
      <w:r w:rsidR="0029478A">
        <w:t xml:space="preserve">including </w:t>
      </w:r>
      <w:r w:rsidRPr="000759DB">
        <w:t>residential care homes and patients</w:t>
      </w:r>
      <w:r w:rsidR="002D0608">
        <w:t>’</w:t>
      </w:r>
      <w:r w:rsidRPr="000759DB">
        <w:t xml:space="preserve"> homes).</w:t>
      </w:r>
    </w:p>
    <w:p w:rsidR="002D0608" w:rsidRDefault="00E2315F" w:rsidP="004D1D65">
      <w:pPr>
        <w:ind w:left="851" w:hanging="851"/>
      </w:pPr>
      <w:r>
        <w:t>8.</w:t>
      </w:r>
      <w:r w:rsidR="00992568">
        <w:t>1.5</w:t>
      </w:r>
      <w:r w:rsidR="00992568">
        <w:tab/>
      </w:r>
      <w:r w:rsidR="0029478A">
        <w:t>Patients should have access to c</w:t>
      </w:r>
      <w:r w:rsidR="00992568">
        <w:t>ultural and spiritual support if required.</w:t>
      </w:r>
      <w:bookmarkEnd w:id="80"/>
      <w:bookmarkEnd w:id="81"/>
    </w:p>
    <w:p w:rsidR="002D0608" w:rsidRDefault="00E96DBC" w:rsidP="004D1D65">
      <w:pPr>
        <w:ind w:left="851" w:hanging="851"/>
      </w:pPr>
      <w:r>
        <w:t>8.1.6</w:t>
      </w:r>
      <w:r>
        <w:tab/>
      </w:r>
      <w:r w:rsidR="0029478A">
        <w:t>Practitioners should encourage patients to c</w:t>
      </w:r>
      <w:r w:rsidRPr="00E96DBC">
        <w:t xml:space="preserve">onsider advance care </w:t>
      </w:r>
      <w:r w:rsidR="00FE26A8">
        <w:t xml:space="preserve">planning </w:t>
      </w:r>
      <w:r w:rsidR="0029478A">
        <w:t xml:space="preserve">where </w:t>
      </w:r>
      <w:r w:rsidRPr="00E96DBC">
        <w:t xml:space="preserve">cure is not possible. Wherever possible, </w:t>
      </w:r>
      <w:r w:rsidR="0029478A">
        <w:t xml:space="preserve">they should </w:t>
      </w:r>
      <w:r w:rsidRPr="00E96DBC">
        <w:t>avoid leaving this discussion until the t</w:t>
      </w:r>
      <w:r w:rsidR="004207B6">
        <w:t>erminal stages of the illness.</w:t>
      </w:r>
    </w:p>
    <w:p w:rsidR="00E64E91" w:rsidRPr="00AF6474" w:rsidRDefault="00E64E91" w:rsidP="004D1D65">
      <w:pPr>
        <w:pStyle w:val="Heading3"/>
      </w:pPr>
      <w:r w:rsidRPr="006B72B5">
        <w:t>Surgery</w:t>
      </w:r>
    </w:p>
    <w:p w:rsidR="00E64E91" w:rsidRPr="000759DB" w:rsidRDefault="006B72B5" w:rsidP="004D1D65">
      <w:pPr>
        <w:ind w:left="851" w:hanging="851"/>
      </w:pPr>
      <w:r>
        <w:t>8.1.</w:t>
      </w:r>
      <w:r w:rsidR="00E2315F">
        <w:t>7</w:t>
      </w:r>
      <w:r w:rsidR="00E64E91" w:rsidRPr="000759DB">
        <w:tab/>
      </w:r>
      <w:r w:rsidR="0029260B">
        <w:t xml:space="preserve">Practitioners should undertake and record </w:t>
      </w:r>
      <w:r w:rsidR="00E64E91">
        <w:t>a</w:t>
      </w:r>
      <w:r w:rsidR="00E64E91" w:rsidRPr="000759DB">
        <w:t>ssessment</w:t>
      </w:r>
      <w:r w:rsidR="0029260B">
        <w:t>s</w:t>
      </w:r>
      <w:r w:rsidR="00E64E91" w:rsidRPr="000759DB">
        <w:t xml:space="preserve"> of the operative risks using </w:t>
      </w:r>
      <w:r w:rsidR="00E64E91">
        <w:t>standard</w:t>
      </w:r>
      <w:r w:rsidR="00E64E91" w:rsidRPr="000759DB">
        <w:t xml:space="preserve"> scoring tools</w:t>
      </w:r>
      <w:r w:rsidR="0029260B">
        <w:t>,</w:t>
      </w:r>
      <w:r w:rsidR="00E64E91" w:rsidRPr="000759DB">
        <w:t xml:space="preserve"> </w:t>
      </w:r>
      <w:r w:rsidR="009337F8">
        <w:t>for audit purpose</w:t>
      </w:r>
      <w:r w:rsidR="0029260B">
        <w:t>s</w:t>
      </w:r>
      <w:r w:rsidR="00D4376B">
        <w:t>.</w:t>
      </w:r>
    </w:p>
    <w:p w:rsidR="00C108E3" w:rsidRPr="000759DB" w:rsidRDefault="006B72B5" w:rsidP="004D1D65">
      <w:pPr>
        <w:ind w:left="851" w:hanging="851"/>
      </w:pPr>
      <w:r>
        <w:t>8.1.</w:t>
      </w:r>
      <w:r w:rsidR="00E2315F">
        <w:t>8</w:t>
      </w:r>
      <w:r w:rsidR="00E64E91" w:rsidRPr="000759DB">
        <w:tab/>
      </w:r>
      <w:r w:rsidR="0029260B">
        <w:t>Practitioners should perform s</w:t>
      </w:r>
      <w:r w:rsidR="00E64E91" w:rsidRPr="000759DB">
        <w:t xml:space="preserve">ystematic nodal dissection in all patients undergoing resection for lung cancer. </w:t>
      </w:r>
      <w:r w:rsidR="0029260B">
        <w:t>They should sample a</w:t>
      </w:r>
      <w:r w:rsidR="00E64E91" w:rsidRPr="000759DB">
        <w:t xml:space="preserve"> minimum of six nodes/nodal stations </w:t>
      </w:r>
      <w:r>
        <w:t>at the time of surgery</w:t>
      </w:r>
      <w:r w:rsidR="0029260B">
        <w:t>,</w:t>
      </w:r>
      <w:r>
        <w:t xml:space="preserve"> to</w:t>
      </w:r>
      <w:r w:rsidR="00653790">
        <w:t xml:space="preserve"> </w:t>
      </w:r>
      <w:r w:rsidR="00E64E91" w:rsidRPr="000759DB">
        <w:t xml:space="preserve">improve </w:t>
      </w:r>
      <w:r w:rsidR="00E64E91">
        <w:t xml:space="preserve">the </w:t>
      </w:r>
      <w:r w:rsidR="00E64E91" w:rsidRPr="000759DB">
        <w:t>a</w:t>
      </w:r>
      <w:r w:rsidR="00C108E3">
        <w:t>ccuracy of pathological staging</w:t>
      </w:r>
      <w:r w:rsidR="00D4376B">
        <w:t>.</w:t>
      </w:r>
    </w:p>
    <w:p w:rsidR="002D0608" w:rsidRDefault="006B72B5" w:rsidP="004D1D65">
      <w:pPr>
        <w:ind w:left="851" w:hanging="851"/>
      </w:pPr>
      <w:r>
        <w:t>8.1.</w:t>
      </w:r>
      <w:r w:rsidR="00E2315F">
        <w:t>9</w:t>
      </w:r>
      <w:r w:rsidR="00E64E91" w:rsidRPr="000759DB">
        <w:tab/>
      </w:r>
      <w:r w:rsidR="00E64E91">
        <w:t>A m</w:t>
      </w:r>
      <w:r w:rsidR="00E64E91" w:rsidRPr="000759DB">
        <w:t xml:space="preserve">ultidisciplinary team </w:t>
      </w:r>
      <w:r w:rsidR="0056129C">
        <w:t xml:space="preserve">should </w:t>
      </w:r>
      <w:r w:rsidR="00E64E91" w:rsidRPr="000759DB">
        <w:t xml:space="preserve">review post-surgical pathological findings for </w:t>
      </w:r>
      <w:r w:rsidR="00AF6474">
        <w:t>all patients</w:t>
      </w:r>
      <w:r w:rsidR="00FE26A8">
        <w:t>.</w:t>
      </w:r>
    </w:p>
    <w:p w:rsidR="002D0608" w:rsidRDefault="00E64E91" w:rsidP="004D1D65">
      <w:pPr>
        <w:pStyle w:val="Heading3"/>
      </w:pPr>
      <w:r w:rsidRPr="006B72B5">
        <w:t xml:space="preserve">Radiation </w:t>
      </w:r>
      <w:r w:rsidR="00ED1A6D">
        <w:t>oncology</w:t>
      </w:r>
    </w:p>
    <w:p w:rsidR="00E64E91" w:rsidRPr="000759DB" w:rsidRDefault="006B72B5" w:rsidP="004D1D65">
      <w:pPr>
        <w:ind w:left="851" w:hanging="851"/>
      </w:pPr>
      <w:r>
        <w:t>8.</w:t>
      </w:r>
      <w:r w:rsidR="00E96DBC">
        <w:t>1.10</w:t>
      </w:r>
      <w:r w:rsidR="00E64E91">
        <w:tab/>
      </w:r>
      <w:r w:rsidR="000B3774">
        <w:t>Practitioners should consider and manage e</w:t>
      </w:r>
      <w:r w:rsidR="00E64E91" w:rsidRPr="000759DB">
        <w:t xml:space="preserve">xternal and internal </w:t>
      </w:r>
      <w:r w:rsidR="00E243CE">
        <w:t xml:space="preserve">target </w:t>
      </w:r>
      <w:r w:rsidR="00E64E91" w:rsidRPr="000759DB">
        <w:t>motion, pa</w:t>
      </w:r>
      <w:r>
        <w:t xml:space="preserve">rticularly in </w:t>
      </w:r>
      <w:r w:rsidR="00E243CE">
        <w:t xml:space="preserve">curative </w:t>
      </w:r>
      <w:r w:rsidR="00295E5B">
        <w:t>settings.</w:t>
      </w:r>
    </w:p>
    <w:p w:rsidR="00E64E91" w:rsidRPr="000759DB" w:rsidRDefault="006B72B5" w:rsidP="004D1D65">
      <w:pPr>
        <w:ind w:left="851" w:hanging="851"/>
      </w:pPr>
      <w:r>
        <w:t>8.</w:t>
      </w:r>
      <w:r w:rsidR="00E96DBC">
        <w:t>1.11</w:t>
      </w:r>
      <w:r w:rsidR="00E64E91">
        <w:tab/>
      </w:r>
      <w:r w:rsidR="000B3774">
        <w:t xml:space="preserve">Practitioners should record </w:t>
      </w:r>
      <w:r w:rsidR="00E64E91">
        <w:t>p</w:t>
      </w:r>
      <w:r w:rsidR="00E64E91" w:rsidRPr="000759DB">
        <w:t>rescribed dose</w:t>
      </w:r>
      <w:r w:rsidR="000B3774">
        <w:t>s</w:t>
      </w:r>
      <w:r w:rsidR="00E64E91" w:rsidRPr="000759DB">
        <w:t xml:space="preserve"> to the planning target volume and at</w:t>
      </w:r>
      <w:r w:rsidR="00E64E91">
        <w:t>-</w:t>
      </w:r>
      <w:r w:rsidR="00E64E91" w:rsidRPr="000759DB">
        <w:t xml:space="preserve">risk organs (at least </w:t>
      </w:r>
      <w:r w:rsidR="00E64E91">
        <w:t xml:space="preserve">the </w:t>
      </w:r>
      <w:r w:rsidR="00E64E91" w:rsidRPr="000759DB">
        <w:t>volume of lung receiving greater than 20</w:t>
      </w:r>
      <w:r w:rsidR="00E64E91">
        <w:t xml:space="preserve"> </w:t>
      </w:r>
      <w:proofErr w:type="spellStart"/>
      <w:r w:rsidR="00E64E91" w:rsidRPr="000759DB">
        <w:t>Gy</w:t>
      </w:r>
      <w:proofErr w:type="spellEnd"/>
      <w:r w:rsidR="00E64E91" w:rsidRPr="000759DB">
        <w:t xml:space="preserve">, mean lung dose) </w:t>
      </w:r>
      <w:r w:rsidR="00295E5B">
        <w:t>for future analysis.</w:t>
      </w:r>
    </w:p>
    <w:p w:rsidR="000C2A57" w:rsidRDefault="00FA44B0" w:rsidP="004D1D65">
      <w:pPr>
        <w:ind w:left="851" w:hanging="851"/>
      </w:pPr>
      <w:r>
        <w:lastRenderedPageBreak/>
        <w:t>8.1.12</w:t>
      </w:r>
      <w:r>
        <w:tab/>
      </w:r>
      <w:r w:rsidR="000B3774">
        <w:t>Practitioners should consider s</w:t>
      </w:r>
      <w:r w:rsidR="00ED1A6D">
        <w:t>uitable p</w:t>
      </w:r>
      <w:r w:rsidR="00745447">
        <w:t>atients with early</w:t>
      </w:r>
      <w:r w:rsidR="000B3774">
        <w:t>-</w:t>
      </w:r>
      <w:r w:rsidR="00ED1A6D">
        <w:t>stage</w:t>
      </w:r>
      <w:r w:rsidR="00745447">
        <w:t xml:space="preserve"> lung cancer not fit for surgery or who decline surgery for stereotactic ablative body radiation</w:t>
      </w:r>
      <w:r w:rsidR="00ED1A6D">
        <w:t xml:space="preserve"> therapy.</w:t>
      </w:r>
    </w:p>
    <w:p w:rsidR="002D0608" w:rsidRDefault="006B72B5" w:rsidP="004D1D65">
      <w:pPr>
        <w:ind w:left="851" w:hanging="851"/>
      </w:pPr>
      <w:r>
        <w:t>8.</w:t>
      </w:r>
      <w:r w:rsidR="00E96DBC">
        <w:t>1.</w:t>
      </w:r>
      <w:r w:rsidR="00E243CE">
        <w:t>13</w:t>
      </w:r>
      <w:r w:rsidR="00E64E91">
        <w:tab/>
      </w:r>
      <w:r w:rsidR="00E64E91" w:rsidRPr="000759DB">
        <w:t>P</w:t>
      </w:r>
      <w:r w:rsidR="000B3774">
        <w:t>ractitioners should consider p</w:t>
      </w:r>
      <w:r w:rsidR="00E64E91" w:rsidRPr="000759DB">
        <w:t xml:space="preserve">atients </w:t>
      </w:r>
      <w:r w:rsidR="00E64E91">
        <w:t xml:space="preserve">with stage II or III </w:t>
      </w:r>
      <w:r w:rsidR="00C61BB7">
        <w:t>NSCLC</w:t>
      </w:r>
      <w:r w:rsidR="00E64E91">
        <w:t xml:space="preserve"> </w:t>
      </w:r>
      <w:r w:rsidR="00E64E91" w:rsidRPr="000759DB">
        <w:t>receiving</w:t>
      </w:r>
      <w:r>
        <w:t xml:space="preserve"> radiation with curative intent </w:t>
      </w:r>
      <w:r w:rsidR="00E64E91" w:rsidRPr="000759DB">
        <w:t xml:space="preserve">for concurrent </w:t>
      </w:r>
      <w:r w:rsidR="009337F8">
        <w:t>chemotherapy</w:t>
      </w:r>
      <w:r w:rsidR="00FE26A8">
        <w:t>.</w:t>
      </w:r>
    </w:p>
    <w:p w:rsidR="00E64E91" w:rsidRDefault="006B72B5" w:rsidP="004D1D65">
      <w:pPr>
        <w:ind w:left="851" w:hanging="851"/>
      </w:pPr>
      <w:r>
        <w:t>8.</w:t>
      </w:r>
      <w:r w:rsidR="00E96DBC">
        <w:t>1.</w:t>
      </w:r>
      <w:r w:rsidR="00E243CE">
        <w:t>14</w:t>
      </w:r>
      <w:r>
        <w:tab/>
      </w:r>
      <w:r w:rsidR="00E64E91">
        <w:t>P</w:t>
      </w:r>
      <w:r w:rsidR="000B3774">
        <w:t>ractitioners should consider p</w:t>
      </w:r>
      <w:r w:rsidR="00E64E91">
        <w:t>atients with limited-stage small-cell lung cancer (broadly staged as T1</w:t>
      </w:r>
      <w:r w:rsidR="006E0543">
        <w:t>–</w:t>
      </w:r>
      <w:r w:rsidR="00E64E91">
        <w:t>4, N0</w:t>
      </w:r>
      <w:r w:rsidR="006E0543">
        <w:t>–</w:t>
      </w:r>
      <w:r w:rsidR="00E64E91">
        <w:t xml:space="preserve">3, </w:t>
      </w:r>
      <w:proofErr w:type="gramStart"/>
      <w:r w:rsidR="00E64E91">
        <w:t>M0</w:t>
      </w:r>
      <w:proofErr w:type="gramEnd"/>
      <w:r w:rsidR="00E64E91">
        <w:t xml:space="preserve">) for concurrent or sequential </w:t>
      </w:r>
      <w:proofErr w:type="spellStart"/>
      <w:r w:rsidR="00E64E91">
        <w:t>chemoradiation</w:t>
      </w:r>
      <w:proofErr w:type="spellEnd"/>
      <w:r w:rsidR="00E64E91">
        <w:t xml:space="preserve">. Radiotherapy should ideally be started during the first </w:t>
      </w:r>
      <w:r w:rsidR="009337F8">
        <w:t>or second cycle of chemotherapy</w:t>
      </w:r>
      <w:r w:rsidR="00FE26A8">
        <w:t>.</w:t>
      </w:r>
    </w:p>
    <w:p w:rsidR="00E64E91" w:rsidRPr="000759DB" w:rsidRDefault="006B72B5" w:rsidP="004D1D65">
      <w:pPr>
        <w:ind w:left="851" w:hanging="851"/>
      </w:pPr>
      <w:r>
        <w:t>8.</w:t>
      </w:r>
      <w:r w:rsidR="00E96DBC">
        <w:t>1.</w:t>
      </w:r>
      <w:r w:rsidR="00E243CE">
        <w:t>15</w:t>
      </w:r>
      <w:r w:rsidR="00E64E91" w:rsidRPr="000759DB">
        <w:tab/>
        <w:t>P</w:t>
      </w:r>
      <w:r w:rsidR="000B3774">
        <w:t>ractitioners should consider p</w:t>
      </w:r>
      <w:r w:rsidR="00E64E91" w:rsidRPr="000759DB">
        <w:t>atients with small</w:t>
      </w:r>
      <w:r w:rsidR="00E64E91">
        <w:t>-</w:t>
      </w:r>
      <w:r w:rsidR="00E64E91" w:rsidRPr="000759DB">
        <w:t xml:space="preserve">cell lung cancer </w:t>
      </w:r>
      <w:r w:rsidR="00E64E91">
        <w:t xml:space="preserve">for </w:t>
      </w:r>
      <w:r w:rsidR="00E64E91" w:rsidRPr="000759DB">
        <w:t>prophylactic cranial irradiation</w:t>
      </w:r>
      <w:r w:rsidR="00E126CF">
        <w:t xml:space="preserve"> </w:t>
      </w:r>
      <w:r w:rsidR="00E64E91">
        <w:t>if their disease has not prog</w:t>
      </w:r>
      <w:r w:rsidR="009337F8">
        <w:t>ressed on first-line treatment</w:t>
      </w:r>
      <w:r w:rsidR="005701CD">
        <w:t>.</w:t>
      </w:r>
    </w:p>
    <w:p w:rsidR="00E64E91" w:rsidRPr="00AF6474" w:rsidRDefault="00E64E91" w:rsidP="004D1D65">
      <w:pPr>
        <w:pStyle w:val="Heading3"/>
      </w:pPr>
      <w:bookmarkStart w:id="85" w:name="_GoBack"/>
      <w:bookmarkEnd w:id="85"/>
      <w:r w:rsidRPr="006B72B5">
        <w:t>Systemic therapy</w:t>
      </w:r>
    </w:p>
    <w:p w:rsidR="002D0608" w:rsidRDefault="006B72B5" w:rsidP="004D1D65">
      <w:pPr>
        <w:ind w:left="851" w:hanging="851"/>
      </w:pPr>
      <w:r>
        <w:t>8</w:t>
      </w:r>
      <w:r w:rsidR="00E64E91" w:rsidRPr="000759DB">
        <w:t>.</w:t>
      </w:r>
      <w:r w:rsidR="006C26A1">
        <w:t>1.</w:t>
      </w:r>
      <w:r w:rsidR="00E243CE">
        <w:t>16</w:t>
      </w:r>
      <w:r w:rsidR="00E64E91" w:rsidRPr="000759DB">
        <w:tab/>
        <w:t>P</w:t>
      </w:r>
      <w:r w:rsidR="000B3774">
        <w:t xml:space="preserve">ractitioners should offer </w:t>
      </w:r>
      <w:r w:rsidR="000B3774" w:rsidRPr="000759DB">
        <w:t>post-operative</w:t>
      </w:r>
      <w:r w:rsidR="000B3774">
        <w:t xml:space="preserve"> platinum-based combination chemotherapy to p</w:t>
      </w:r>
      <w:r w:rsidR="00E64E91" w:rsidRPr="000759DB">
        <w:t xml:space="preserve">ost-surgical </w:t>
      </w:r>
      <w:r w:rsidR="00C61BB7">
        <w:t xml:space="preserve">NSCLC </w:t>
      </w:r>
      <w:r w:rsidR="00E64E91" w:rsidRPr="000759DB">
        <w:t>patients with good performance status and T1-3</w:t>
      </w:r>
      <w:r w:rsidR="00E64E91">
        <w:t>,</w:t>
      </w:r>
      <w:r w:rsidR="00E64E91" w:rsidRPr="000759DB">
        <w:t xml:space="preserve"> N1-2</w:t>
      </w:r>
      <w:r w:rsidR="00E64E91">
        <w:t>,</w:t>
      </w:r>
      <w:r w:rsidR="00E64E91" w:rsidRPr="000759DB">
        <w:t xml:space="preserve"> M0 pathological disease</w:t>
      </w:r>
      <w:r w:rsidR="00FE26A8">
        <w:t>.</w:t>
      </w:r>
    </w:p>
    <w:p w:rsidR="006C26A1" w:rsidRDefault="006B72B5" w:rsidP="004D1D65">
      <w:pPr>
        <w:ind w:left="851" w:hanging="851"/>
      </w:pPr>
      <w:r>
        <w:t>8</w:t>
      </w:r>
      <w:r w:rsidR="00E64E91">
        <w:t>.</w:t>
      </w:r>
      <w:r w:rsidR="006C26A1">
        <w:t>1.</w:t>
      </w:r>
      <w:r w:rsidR="00E243CE">
        <w:t>17</w:t>
      </w:r>
      <w:r w:rsidR="00E64E91">
        <w:tab/>
        <w:t>P</w:t>
      </w:r>
      <w:r w:rsidR="000B3774">
        <w:t>ractitioners should consider p</w:t>
      </w:r>
      <w:r w:rsidR="00E64E91">
        <w:t xml:space="preserve">atients with stage II or III </w:t>
      </w:r>
      <w:r w:rsidR="00C61BB7">
        <w:t xml:space="preserve">NSCLC </w:t>
      </w:r>
      <w:r w:rsidR="00E64E91">
        <w:t>an</w:t>
      </w:r>
      <w:r>
        <w:t>d good performance</w:t>
      </w:r>
      <w:r w:rsidR="00460688">
        <w:t xml:space="preserve"> status</w:t>
      </w:r>
      <w:r>
        <w:t xml:space="preserve"> who are not </w:t>
      </w:r>
      <w:r w:rsidR="00E64E91">
        <w:t xml:space="preserve">candidates for surgery by virtue of stage or co-morbidity </w:t>
      </w:r>
      <w:r>
        <w:t xml:space="preserve">for concurrent </w:t>
      </w:r>
      <w:proofErr w:type="spellStart"/>
      <w:r w:rsidR="005701CD">
        <w:t>chemoradiation</w:t>
      </w:r>
      <w:proofErr w:type="spellEnd"/>
      <w:r w:rsidR="00FE26A8">
        <w:t>.</w:t>
      </w:r>
    </w:p>
    <w:p w:rsidR="00E64E91" w:rsidRDefault="006C26A1" w:rsidP="004D1D65">
      <w:pPr>
        <w:ind w:left="851" w:hanging="851"/>
      </w:pPr>
      <w:r>
        <w:t>8.1.</w:t>
      </w:r>
      <w:r w:rsidR="00E243CE">
        <w:t>18</w:t>
      </w:r>
      <w:r>
        <w:tab/>
      </w:r>
      <w:r w:rsidRPr="000759DB">
        <w:t>P</w:t>
      </w:r>
      <w:r w:rsidR="000B3774">
        <w:t>ractitioners should consider p</w:t>
      </w:r>
      <w:r w:rsidRPr="000759DB">
        <w:t>atients with</w:t>
      </w:r>
      <w:r w:rsidR="00E243CE">
        <w:t xml:space="preserve"> (broadly staged as</w:t>
      </w:r>
      <w:r w:rsidRPr="000759DB">
        <w:t xml:space="preserve"> T1-4</w:t>
      </w:r>
      <w:r>
        <w:t>,</w:t>
      </w:r>
      <w:r w:rsidRPr="000759DB">
        <w:t xml:space="preserve"> N0</w:t>
      </w:r>
      <w:r w:rsidR="004D1D65">
        <w:noBreakHyphen/>
      </w:r>
      <w:r w:rsidRPr="000759DB">
        <w:t>3</w:t>
      </w:r>
      <w:r>
        <w:t xml:space="preserve">, </w:t>
      </w:r>
      <w:r w:rsidRPr="000759DB">
        <w:t>M0</w:t>
      </w:r>
      <w:r w:rsidR="00E243CE">
        <w:t>)</w:t>
      </w:r>
      <w:r w:rsidRPr="000759DB">
        <w:t xml:space="preserve"> small</w:t>
      </w:r>
      <w:r>
        <w:t>-</w:t>
      </w:r>
      <w:r w:rsidRPr="000759DB">
        <w:t xml:space="preserve">cell lung cancer and good performance status </w:t>
      </w:r>
      <w:r>
        <w:t xml:space="preserve">for </w:t>
      </w:r>
      <w:r w:rsidRPr="000759DB">
        <w:t xml:space="preserve">concurrent </w:t>
      </w:r>
      <w:proofErr w:type="spellStart"/>
      <w:r w:rsidRPr="000759DB">
        <w:t>chemoradi</w:t>
      </w:r>
      <w:r w:rsidR="009337F8">
        <w:t>ation</w:t>
      </w:r>
      <w:proofErr w:type="spellEnd"/>
      <w:r w:rsidR="00D4376B">
        <w:t>.</w:t>
      </w:r>
    </w:p>
    <w:p w:rsidR="00E64E91" w:rsidRPr="000759DB" w:rsidRDefault="006B72B5" w:rsidP="004D1D65">
      <w:pPr>
        <w:ind w:left="851" w:hanging="851"/>
      </w:pPr>
      <w:r>
        <w:t>8</w:t>
      </w:r>
      <w:r w:rsidR="00E64E91">
        <w:t>.</w:t>
      </w:r>
      <w:r w:rsidR="006C26A1">
        <w:t>1.</w:t>
      </w:r>
      <w:r w:rsidR="00E243CE">
        <w:t>19</w:t>
      </w:r>
      <w:r w:rsidR="00E64E91">
        <w:tab/>
        <w:t>P</w:t>
      </w:r>
      <w:r w:rsidR="000B3774">
        <w:t>ractitioners should consider p</w:t>
      </w:r>
      <w:r w:rsidR="00E64E91">
        <w:t xml:space="preserve">atients with stage III or IV </w:t>
      </w:r>
      <w:r w:rsidR="00C61BB7">
        <w:t>NSCLC</w:t>
      </w:r>
      <w:r w:rsidR="00E64E91">
        <w:t xml:space="preserve"> and goo</w:t>
      </w:r>
      <w:r w:rsidR="00653790">
        <w:t xml:space="preserve">d performance status </w:t>
      </w:r>
      <w:r w:rsidR="00E64E91">
        <w:t>for platinum-based combination chemotherapy to imp</w:t>
      </w:r>
      <w:r w:rsidR="00653790">
        <w:t xml:space="preserve">rove survival, disease control </w:t>
      </w:r>
      <w:r w:rsidR="00E64E91">
        <w:t>and quali</w:t>
      </w:r>
      <w:r w:rsidR="00DD0DAF">
        <w:t>ty of life. P</w:t>
      </w:r>
      <w:r w:rsidR="000B3774">
        <w:t>ractitioners may offer single-agent chemotherapy with a third-generation drug to p</w:t>
      </w:r>
      <w:r w:rsidR="00DD0DAF">
        <w:t>atients who can</w:t>
      </w:r>
      <w:r w:rsidR="00460688">
        <w:t>not</w:t>
      </w:r>
      <w:r w:rsidR="00E64E91">
        <w:t xml:space="preserve"> tolerate platinum-based combination chemotherapy</w:t>
      </w:r>
      <w:r w:rsidR="00D4376B">
        <w:t>.</w:t>
      </w:r>
    </w:p>
    <w:p w:rsidR="00787B6D" w:rsidRDefault="006B72B5" w:rsidP="004D1D65">
      <w:pPr>
        <w:ind w:left="851" w:hanging="851"/>
      </w:pPr>
      <w:r>
        <w:t>8</w:t>
      </w:r>
      <w:r w:rsidR="00E64E91" w:rsidRPr="000759DB">
        <w:t>.</w:t>
      </w:r>
      <w:r w:rsidR="006C26A1">
        <w:t>1.</w:t>
      </w:r>
      <w:r w:rsidR="00E243CE">
        <w:t>20</w:t>
      </w:r>
      <w:r w:rsidR="00E64E91" w:rsidRPr="000759DB">
        <w:tab/>
      </w:r>
      <w:r w:rsidR="00E64E91">
        <w:t>P</w:t>
      </w:r>
      <w:r w:rsidR="000B3774">
        <w:t>ractitioners should consider p</w:t>
      </w:r>
      <w:r w:rsidR="00E64E91">
        <w:t xml:space="preserve">atients with extensive-stage small-cell lung cancer </w:t>
      </w:r>
      <w:r>
        <w:t xml:space="preserve">for platinum-based </w:t>
      </w:r>
      <w:r w:rsidR="00E64E91">
        <w:t>combination chemother</w:t>
      </w:r>
      <w:r w:rsidR="005701CD">
        <w:t xml:space="preserve">apy up to </w:t>
      </w:r>
      <w:r w:rsidR="000B3774">
        <w:t xml:space="preserve">a </w:t>
      </w:r>
      <w:r w:rsidR="005701CD">
        <w:t>maximum of six cycles</w:t>
      </w:r>
      <w:r w:rsidR="00D4376B">
        <w:t>.</w:t>
      </w:r>
    </w:p>
    <w:p w:rsidR="00E243CE" w:rsidRPr="00E243CE" w:rsidRDefault="00E243CE" w:rsidP="004D1D65">
      <w:pPr>
        <w:ind w:left="851" w:hanging="851"/>
      </w:pPr>
      <w:r w:rsidRPr="00E243CE">
        <w:t>8.1.2</w:t>
      </w:r>
      <w:r>
        <w:t>1</w:t>
      </w:r>
      <w:r w:rsidR="00C108E3">
        <w:tab/>
      </w:r>
      <w:r w:rsidRPr="00E243CE">
        <w:t>P</w:t>
      </w:r>
      <w:r w:rsidR="000B3774">
        <w:t xml:space="preserve">ractitioners should </w:t>
      </w:r>
      <w:r w:rsidR="00374839">
        <w:t xml:space="preserve">offer </w:t>
      </w:r>
      <w:r w:rsidR="00374839" w:rsidRPr="00E243CE">
        <w:t>treatment with targeted therapies</w:t>
      </w:r>
      <w:r w:rsidR="00374839">
        <w:t xml:space="preserve"> to </w:t>
      </w:r>
      <w:r w:rsidR="000B3774">
        <w:t>p</w:t>
      </w:r>
      <w:r w:rsidRPr="00E243CE">
        <w:t>atients with incurable NSCLC and known targetable mutations (</w:t>
      </w:r>
      <w:proofErr w:type="spellStart"/>
      <w:r w:rsidR="007C7A11">
        <w:t>eg</w:t>
      </w:r>
      <w:proofErr w:type="spellEnd"/>
      <w:r w:rsidR="000B3774">
        <w:t>,</w:t>
      </w:r>
      <w:r w:rsidRPr="00E243CE">
        <w:t xml:space="preserve"> activating mutations of the EGFR or ALK rearrangements).</w:t>
      </w:r>
    </w:p>
    <w:p w:rsidR="00E243CE" w:rsidRDefault="00E243CE" w:rsidP="004D1D65">
      <w:pPr>
        <w:ind w:left="851" w:hanging="851"/>
      </w:pPr>
      <w:r w:rsidRPr="00E243CE">
        <w:t>8.1.2</w:t>
      </w:r>
      <w:r>
        <w:t>2</w:t>
      </w:r>
      <w:r w:rsidR="00C108E3">
        <w:tab/>
      </w:r>
      <w:r w:rsidRPr="00E243CE">
        <w:t>P</w:t>
      </w:r>
      <w:r w:rsidR="00374839">
        <w:t>ractitioners should not treat p</w:t>
      </w:r>
      <w:r w:rsidRPr="00E243CE">
        <w:t>atients with EGFR or ALK targeted therapies in the absence of an identified oncogenic mutation.</w:t>
      </w:r>
    </w:p>
    <w:p w:rsidR="00E7569B" w:rsidRPr="00C954F9" w:rsidRDefault="00D4376B" w:rsidP="00B23817">
      <w:r>
        <w:br w:type="page"/>
      </w:r>
    </w:p>
    <w:p w:rsidR="00E64E91" w:rsidRDefault="006B72B5" w:rsidP="004D1D65">
      <w:pPr>
        <w:pStyle w:val="Heading1"/>
      </w:pPr>
      <w:bookmarkStart w:id="86" w:name="_Toc294364721"/>
      <w:bookmarkStart w:id="87" w:name="_Toc294365035"/>
      <w:bookmarkStart w:id="88" w:name="_Toc290903022"/>
      <w:bookmarkStart w:id="89" w:name="_Toc399763987"/>
      <w:bookmarkStart w:id="90" w:name="_Toc448737431"/>
      <w:r w:rsidRPr="00FB60E9">
        <w:lastRenderedPageBreak/>
        <w:t>9</w:t>
      </w:r>
      <w:r w:rsidR="00E64E91" w:rsidRPr="00FB60E9">
        <w:tab/>
        <w:t>Follow-up</w:t>
      </w:r>
      <w:bookmarkEnd w:id="86"/>
      <w:bookmarkEnd w:id="87"/>
      <w:bookmarkEnd w:id="88"/>
      <w:r w:rsidRPr="00FB60E9">
        <w:t xml:space="preserve"> and surveillance</w:t>
      </w:r>
      <w:bookmarkEnd w:id="89"/>
      <w:bookmarkEnd w:id="90"/>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4D1D65" w:rsidRDefault="00B850E5" w:rsidP="004D1D65">
            <w:pPr>
              <w:pStyle w:val="Heading2"/>
              <w:keepNext w:val="0"/>
              <w:spacing w:before="120"/>
              <w:rPr>
                <w:sz w:val="24"/>
                <w:szCs w:val="24"/>
              </w:rPr>
            </w:pPr>
            <w:bookmarkStart w:id="91" w:name="_Toc448737432"/>
            <w:r w:rsidRPr="004D1D65">
              <w:rPr>
                <w:sz w:val="24"/>
                <w:szCs w:val="24"/>
              </w:rPr>
              <w:t xml:space="preserve">Standard </w:t>
            </w:r>
            <w:r w:rsidR="004D1D65" w:rsidRPr="004D1D65">
              <w:rPr>
                <w:sz w:val="24"/>
                <w:szCs w:val="24"/>
              </w:rPr>
              <w:t>9</w:t>
            </w:r>
            <w:r w:rsidRPr="004D1D65">
              <w:rPr>
                <w:sz w:val="24"/>
                <w:szCs w:val="24"/>
              </w:rPr>
              <w:t>.1</w:t>
            </w:r>
            <w:bookmarkEnd w:id="91"/>
          </w:p>
        </w:tc>
        <w:tc>
          <w:tcPr>
            <w:tcW w:w="6095" w:type="dxa"/>
            <w:shd w:val="clear" w:color="auto" w:fill="auto"/>
          </w:tcPr>
          <w:p w:rsidR="00B850E5" w:rsidRPr="006E7C35" w:rsidRDefault="004D1D65" w:rsidP="00640EE6">
            <w:pPr>
              <w:pStyle w:val="TableText"/>
            </w:pPr>
            <w:r w:rsidRPr="00CA26CF">
              <w:t xml:space="preserve">All patients and their general practitioners should be given written information regarding a follow-up plan </w:t>
            </w:r>
            <w:r>
              <w:t xml:space="preserve">and </w:t>
            </w:r>
            <w:r w:rsidRPr="00CA26CF">
              <w:t>a nominated point of contact if there is a clinical concern</w:t>
            </w:r>
            <w:r>
              <w:t>.</w:t>
            </w:r>
          </w:p>
        </w:tc>
      </w:tr>
    </w:tbl>
    <w:p w:rsidR="004D1D65" w:rsidRPr="007F36E4" w:rsidRDefault="004D1D65" w:rsidP="004D1D65">
      <w:pPr>
        <w:pStyle w:val="Heading3"/>
        <w:rPr>
          <w:rFonts w:eastAsia="Calibri"/>
          <w:lang w:eastAsia="en-NZ"/>
        </w:rPr>
      </w:pPr>
      <w:r>
        <w:rPr>
          <w:rFonts w:eastAsia="Calibri"/>
          <w:lang w:eastAsia="en-NZ"/>
        </w:rPr>
        <w:t>Rationale</w:t>
      </w:r>
    </w:p>
    <w:p w:rsidR="004D1D65" w:rsidRDefault="004D1D65" w:rsidP="004D1D65">
      <w:r>
        <w:t>The main objective of f</w:t>
      </w:r>
      <w:r w:rsidRPr="000759DB">
        <w:t xml:space="preserve">ollow-up care </w:t>
      </w:r>
      <w:r>
        <w:t>is to</w:t>
      </w:r>
      <w:r w:rsidRPr="000759DB">
        <w:t xml:space="preserve"> detect distant recurrence at an early stage so that treatment for any relapse can be started. </w:t>
      </w:r>
      <w:r>
        <w:t xml:space="preserve">The NLCWG notes that </w:t>
      </w:r>
      <w:r w:rsidRPr="000759DB">
        <w:t>there is insufficient evidence to recommend any particular schedule of follow-up of patients after treatment for lung cancer.</w:t>
      </w:r>
    </w:p>
    <w:p w:rsidR="004D1D65" w:rsidRPr="00DA1A93" w:rsidRDefault="004D1D65" w:rsidP="004D1D65">
      <w:r w:rsidRPr="000759DB">
        <w:t xml:space="preserve">There is </w:t>
      </w:r>
      <w:r>
        <w:t>no</w:t>
      </w:r>
      <w:r w:rsidRPr="000759DB">
        <w:t xml:space="preserve"> convincing proof that intensive follow-up approaches based on regular laboratory and radiological investigations improve</w:t>
      </w:r>
      <w:r>
        <w:t>s</w:t>
      </w:r>
      <w:r w:rsidRPr="000759DB">
        <w:t xml:space="preserve"> outcomes in as</w:t>
      </w:r>
      <w:r>
        <w:t>ymptomatic patients. The NLCWG discourages r</w:t>
      </w:r>
      <w:r w:rsidRPr="000759DB">
        <w:t xml:space="preserve">outine testing beyond a plain chest </w:t>
      </w:r>
      <w:r>
        <w:t>X</w:t>
      </w:r>
      <w:r w:rsidRPr="000759DB">
        <w:t>-ray in asymptomatic patients</w:t>
      </w:r>
      <w:r>
        <w:t>,</w:t>
      </w:r>
      <w:r w:rsidRPr="000759DB">
        <w:t xml:space="preserve"> to free up resources </w:t>
      </w:r>
      <w:r>
        <w:t xml:space="preserve">for </w:t>
      </w:r>
      <w:r w:rsidRPr="000759DB">
        <w:t xml:space="preserve">and reduce delays in diagnosing </w:t>
      </w:r>
      <w:r>
        <w:t xml:space="preserve">new </w:t>
      </w:r>
      <w:r w:rsidRPr="000759DB">
        <w:t>cancer</w:t>
      </w:r>
      <w:r>
        <w:t>s</w:t>
      </w:r>
      <w:r w:rsidRPr="000759DB">
        <w:t>.</w:t>
      </w:r>
    </w:p>
    <w:p w:rsidR="004D1D65" w:rsidRPr="006A69AA" w:rsidRDefault="004D1D65" w:rsidP="004D1D65">
      <w:pPr>
        <w:pStyle w:val="Heading3"/>
        <w:rPr>
          <w:rFonts w:eastAsia="Calibri"/>
          <w:lang w:eastAsia="en-NZ"/>
        </w:rPr>
      </w:pPr>
      <w:r>
        <w:rPr>
          <w:rFonts w:eastAsia="Calibri"/>
          <w:lang w:eastAsia="en-NZ"/>
        </w:rPr>
        <w:t>How do we measure the standard</w:t>
      </w:r>
    </w:p>
    <w:p w:rsidR="004D1D65" w:rsidRDefault="004D1D65" w:rsidP="004D1D65">
      <w:pPr>
        <w:rPr>
          <w:rFonts w:eastAsia="Calibri"/>
          <w:lang w:eastAsia="en-NZ"/>
        </w:rPr>
      </w:pPr>
      <w:r w:rsidRPr="00992568">
        <w:rPr>
          <w:rFonts w:eastAsia="Calibri"/>
          <w:lang w:eastAsia="en-NZ"/>
        </w:rPr>
        <w:t>Each cancer</w:t>
      </w:r>
      <w:r>
        <w:rPr>
          <w:rFonts w:eastAsia="Calibri"/>
          <w:lang w:eastAsia="en-NZ"/>
        </w:rPr>
        <w:t xml:space="preserve"> centre has a formalised follow-</w:t>
      </w:r>
      <w:r w:rsidRPr="00992568">
        <w:rPr>
          <w:rFonts w:eastAsia="Calibri"/>
          <w:lang w:eastAsia="en-NZ"/>
        </w:rPr>
        <w:t>up template available</w:t>
      </w:r>
      <w:r>
        <w:rPr>
          <w:rFonts w:eastAsia="Calibri"/>
          <w:lang w:eastAsia="en-NZ"/>
        </w:rPr>
        <w:t>.</w:t>
      </w:r>
    </w:p>
    <w:p w:rsidR="004D1D65" w:rsidRPr="00C91C9E" w:rsidRDefault="004D1D65" w:rsidP="004D1D65">
      <w:pPr>
        <w:rPr>
          <w:rFonts w:eastAsia="Calibri"/>
          <w:lang w:eastAsia="en-NZ"/>
        </w:rPr>
      </w:pPr>
      <w:r w:rsidRPr="0008595F">
        <w:rPr>
          <w:rFonts w:eastAsia="Calibri"/>
          <w:lang w:eastAsia="en-NZ"/>
        </w:rPr>
        <w:t>Random sample of 20 curatively treated lung cancer patient records</w:t>
      </w:r>
      <w:r>
        <w:rPr>
          <w:rFonts w:eastAsia="Calibri"/>
          <w:lang w:eastAsia="en-NZ"/>
        </w:rPr>
        <w:t xml:space="preserve"> indicating evidence of the follow-up plan.</w:t>
      </w:r>
    </w:p>
    <w:p w:rsidR="004D1D65" w:rsidRPr="007F36E4" w:rsidRDefault="004D1D65" w:rsidP="004D1D65">
      <w:pPr>
        <w:pStyle w:val="Heading3"/>
        <w:rPr>
          <w:rFonts w:eastAsia="Calibri"/>
        </w:rPr>
      </w:pPr>
      <w:r>
        <w:rPr>
          <w:rFonts w:eastAsia="Calibri"/>
          <w:lang w:eastAsia="en-NZ"/>
        </w:rPr>
        <w:t>Target</w:t>
      </w:r>
    </w:p>
    <w:p w:rsidR="004D1D65" w:rsidRPr="00C0773B" w:rsidRDefault="004D1D65" w:rsidP="004D1D65">
      <w:pPr>
        <w:rPr>
          <w:rFonts w:eastAsia="Calibri"/>
          <w:lang w:eastAsia="en-NZ"/>
        </w:rPr>
      </w:pPr>
      <w:r w:rsidRPr="00C0773B">
        <w:rPr>
          <w:rFonts w:eastAsia="Calibri"/>
          <w:lang w:eastAsia="en-NZ"/>
        </w:rPr>
        <w:t>95</w:t>
      </w:r>
      <w:r>
        <w:rPr>
          <w:rFonts w:eastAsia="Calibri"/>
          <w:lang w:eastAsia="en-NZ"/>
        </w:rPr>
        <w:t xml:space="preserve"> percent</w:t>
      </w:r>
      <w:r w:rsidRPr="00C0773B">
        <w:rPr>
          <w:rFonts w:eastAsia="Calibri"/>
          <w:lang w:eastAsia="en-NZ"/>
        </w:rPr>
        <w:t xml:space="preserve"> </w:t>
      </w:r>
      <w:r w:rsidRPr="00C0773B">
        <w:t xml:space="preserve">of </w:t>
      </w:r>
      <w:r>
        <w:t>patients meet the standard</w:t>
      </w:r>
      <w:r w:rsidRPr="00C0773B">
        <w:t>.</w:t>
      </w:r>
    </w:p>
    <w:p w:rsidR="004D1D65" w:rsidRPr="007F36E4" w:rsidRDefault="004D1D65" w:rsidP="004D1D65">
      <w:pPr>
        <w:pStyle w:val="Heading3"/>
        <w:rPr>
          <w:rFonts w:eastAsia="Calibri"/>
        </w:rPr>
      </w:pPr>
      <w:r w:rsidRPr="007F36E4">
        <w:rPr>
          <w:rFonts w:eastAsia="Calibri"/>
        </w:rPr>
        <w:t>Monitoring requirement</w:t>
      </w:r>
    </w:p>
    <w:p w:rsidR="004D1D65" w:rsidRPr="007F36E4" w:rsidRDefault="004D1D65" w:rsidP="004D1D65">
      <w:pPr>
        <w:rPr>
          <w:rFonts w:eastAsia="Calibri"/>
        </w:rPr>
      </w:pPr>
      <w:r>
        <w:rPr>
          <w:rFonts w:eastAsia="Calibri"/>
        </w:rPr>
        <w:t>Annual report to regional cancer network and regional lung cancer work group.</w:t>
      </w:r>
    </w:p>
    <w:p w:rsidR="00E64E91" w:rsidRPr="00207C7C" w:rsidRDefault="00E64E91" w:rsidP="004D1D65">
      <w:pPr>
        <w:pStyle w:val="Heading2"/>
      </w:pPr>
      <w:bookmarkStart w:id="92" w:name="_Toc297732879"/>
      <w:bookmarkStart w:id="93" w:name="_Toc399763989"/>
      <w:bookmarkStart w:id="94" w:name="_Toc448737433"/>
      <w:r w:rsidRPr="00E45555">
        <w:lastRenderedPageBreak/>
        <w:t>Good practice points</w:t>
      </w:r>
      <w:bookmarkEnd w:id="92"/>
      <w:bookmarkEnd w:id="93"/>
      <w:bookmarkEnd w:id="94"/>
    </w:p>
    <w:p w:rsidR="002D0608" w:rsidRDefault="00070AFA" w:rsidP="004D1D65">
      <w:pPr>
        <w:keepNext/>
        <w:ind w:left="851" w:hanging="851"/>
      </w:pPr>
      <w:r>
        <w:t>9</w:t>
      </w:r>
      <w:r w:rsidR="00E64E91">
        <w:t>.1</w:t>
      </w:r>
      <w:r>
        <w:t>.1</w:t>
      </w:r>
      <w:r w:rsidR="00E64E91" w:rsidRPr="000759DB">
        <w:tab/>
        <w:t>There is no evidence that the routine use of CT and PET-CT, tumour markers or</w:t>
      </w:r>
      <w:r w:rsidR="005701CD">
        <w:t xml:space="preserve"> </w:t>
      </w:r>
      <w:r w:rsidR="00E64E91" w:rsidRPr="000759DB">
        <w:t>bronchoscopy in asymptomatic patients ha</w:t>
      </w:r>
      <w:r w:rsidR="00E64E91">
        <w:t>s</w:t>
      </w:r>
      <w:r w:rsidR="00E64E91" w:rsidRPr="000759DB">
        <w:t xml:space="preserve"> any </w:t>
      </w:r>
      <w:r w:rsidR="00E64E91">
        <w:t>effect</w:t>
      </w:r>
      <w:r w:rsidR="00E64E91" w:rsidRPr="000759DB">
        <w:t xml:space="preserve"> on outcome. </w:t>
      </w:r>
      <w:r w:rsidR="000B0B43">
        <w:t>The NLCWG discourages r</w:t>
      </w:r>
      <w:r w:rsidR="00E64E91" w:rsidRPr="000759DB">
        <w:t>outine use of these tests in follow</w:t>
      </w:r>
      <w:r w:rsidR="004D1D65">
        <w:noBreakHyphen/>
      </w:r>
      <w:r w:rsidR="00E64E91" w:rsidRPr="000759DB">
        <w:t>up of asymptomatic patients.</w:t>
      </w:r>
    </w:p>
    <w:p w:rsidR="002D0608" w:rsidRDefault="00070AFA" w:rsidP="004D1D65">
      <w:pPr>
        <w:keepNext/>
        <w:ind w:left="851" w:hanging="851"/>
      </w:pPr>
      <w:r>
        <w:t>9.1</w:t>
      </w:r>
      <w:r w:rsidR="00E64E91">
        <w:t>.2</w:t>
      </w:r>
      <w:r w:rsidR="00E64E91" w:rsidRPr="000759DB">
        <w:tab/>
        <w:t>P</w:t>
      </w:r>
      <w:r w:rsidR="000B0B43">
        <w:t>ractitioners should inform p</w:t>
      </w:r>
      <w:r w:rsidR="00E64E91" w:rsidRPr="000759DB">
        <w:t xml:space="preserve">atients whether they will offer </w:t>
      </w:r>
      <w:r w:rsidR="000B0B43">
        <w:t xml:space="preserve">them </w:t>
      </w:r>
      <w:r w:rsidR="00E64E91" w:rsidRPr="000759DB">
        <w:t>regular follow-up appointments after completing treatment</w:t>
      </w:r>
      <w:r w:rsidR="000B0B43">
        <w:t xml:space="preserve">; they should also inform them </w:t>
      </w:r>
      <w:r w:rsidR="00E64E91" w:rsidRPr="000759DB">
        <w:t xml:space="preserve">whether the clinical follow-up will be carried out through a hospital outpatient service or in the community </w:t>
      </w:r>
      <w:r w:rsidR="005701CD">
        <w:t xml:space="preserve">by </w:t>
      </w:r>
      <w:r w:rsidR="00E64E91" w:rsidRPr="000759DB">
        <w:t xml:space="preserve">a </w:t>
      </w:r>
      <w:r w:rsidR="00E64E91">
        <w:t>GP</w:t>
      </w:r>
      <w:r w:rsidR="00E64E91" w:rsidRPr="000759DB">
        <w:t>.</w:t>
      </w:r>
    </w:p>
    <w:p w:rsidR="002D0608" w:rsidRDefault="00070AFA" w:rsidP="004D1D65">
      <w:pPr>
        <w:ind w:left="851" w:hanging="851"/>
      </w:pPr>
      <w:r>
        <w:t>9.1</w:t>
      </w:r>
      <w:r w:rsidR="00E64E91" w:rsidRPr="000759DB">
        <w:t>.3</w:t>
      </w:r>
      <w:r w:rsidR="00E64E91" w:rsidRPr="000759DB">
        <w:tab/>
        <w:t xml:space="preserve">If </w:t>
      </w:r>
      <w:r w:rsidR="000B0B43">
        <w:t xml:space="preserve">a </w:t>
      </w:r>
      <w:r w:rsidR="00E64E91">
        <w:t>GP</w:t>
      </w:r>
      <w:r w:rsidR="00E64E91" w:rsidRPr="000759DB">
        <w:t xml:space="preserve"> is responsible for longer</w:t>
      </w:r>
      <w:r w:rsidR="00E64E91">
        <w:t>-</w:t>
      </w:r>
      <w:r w:rsidR="00E64E91" w:rsidRPr="000759DB">
        <w:t>term follow-up</w:t>
      </w:r>
      <w:r w:rsidR="00E64E91">
        <w:t>,</w:t>
      </w:r>
      <w:r w:rsidR="00E64E91" w:rsidRPr="000759DB">
        <w:t xml:space="preserve"> </w:t>
      </w:r>
      <w:r w:rsidR="000B0B43">
        <w:t xml:space="preserve">practitioners </w:t>
      </w:r>
      <w:r w:rsidR="00E64E91" w:rsidRPr="000759DB">
        <w:t xml:space="preserve">need to </w:t>
      </w:r>
      <w:r w:rsidR="000B0B43">
        <w:t xml:space="preserve">document </w:t>
      </w:r>
      <w:r w:rsidR="00E64E91" w:rsidRPr="000759DB">
        <w:t>an agreed assessment and investigation plan.</w:t>
      </w:r>
    </w:p>
    <w:p w:rsidR="004812C2" w:rsidRDefault="004812C2" w:rsidP="004D1D65">
      <w:pPr>
        <w:pStyle w:val="Heading1"/>
      </w:pPr>
      <w:bookmarkStart w:id="95" w:name="_Toc290903023"/>
      <w:r>
        <w:br w:type="page"/>
      </w:r>
      <w:bookmarkStart w:id="96" w:name="_Toc290903016"/>
      <w:bookmarkStart w:id="97" w:name="_Toc399763991"/>
      <w:bookmarkStart w:id="98" w:name="_Toc448737434"/>
      <w:r>
        <w:lastRenderedPageBreak/>
        <w:t>10</w:t>
      </w:r>
      <w:r w:rsidRPr="005511E5">
        <w:tab/>
      </w:r>
      <w:bookmarkEnd w:id="96"/>
      <w:r w:rsidRPr="004812C2">
        <w:t>Clinical performance monitoring and research</w:t>
      </w:r>
      <w:bookmarkEnd w:id="97"/>
      <w:bookmarkEnd w:id="98"/>
    </w:p>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4D1D65" w:rsidRDefault="00B850E5" w:rsidP="004D1D65">
            <w:pPr>
              <w:pStyle w:val="Heading2"/>
              <w:keepNext w:val="0"/>
              <w:spacing w:before="120"/>
              <w:rPr>
                <w:sz w:val="24"/>
                <w:szCs w:val="24"/>
              </w:rPr>
            </w:pPr>
            <w:bookmarkStart w:id="99" w:name="_Toc448737435"/>
            <w:r w:rsidRPr="004D1D65">
              <w:rPr>
                <w:sz w:val="24"/>
                <w:szCs w:val="24"/>
              </w:rPr>
              <w:t xml:space="preserve">Standard </w:t>
            </w:r>
            <w:r w:rsidR="004D1D65" w:rsidRPr="004D1D65">
              <w:rPr>
                <w:sz w:val="24"/>
                <w:szCs w:val="24"/>
              </w:rPr>
              <w:t>10</w:t>
            </w:r>
            <w:r w:rsidRPr="004D1D65">
              <w:rPr>
                <w:sz w:val="24"/>
                <w:szCs w:val="24"/>
              </w:rPr>
              <w:t>.1</w:t>
            </w:r>
            <w:bookmarkEnd w:id="99"/>
          </w:p>
        </w:tc>
        <w:tc>
          <w:tcPr>
            <w:tcW w:w="6095" w:type="dxa"/>
            <w:shd w:val="clear" w:color="auto" w:fill="auto"/>
          </w:tcPr>
          <w:p w:rsidR="00B850E5" w:rsidRPr="006E7C35" w:rsidRDefault="004D1D65" w:rsidP="00640EE6">
            <w:pPr>
              <w:pStyle w:val="TableText"/>
            </w:pPr>
            <w:r w:rsidRPr="00B46696">
              <w:t>All patients with lung cancer should be entered into a lung cancer database</w:t>
            </w:r>
            <w:r>
              <w:t xml:space="preserve"> capturing the national lung cancer core dataset.</w:t>
            </w:r>
          </w:p>
        </w:tc>
      </w:tr>
    </w:tbl>
    <w:p w:rsidR="004D1D65" w:rsidRPr="007F36E4" w:rsidRDefault="004D1D65" w:rsidP="004D1D65">
      <w:pPr>
        <w:pStyle w:val="Heading3"/>
        <w:rPr>
          <w:rFonts w:eastAsia="Calibri"/>
          <w:lang w:eastAsia="en-NZ"/>
        </w:rPr>
      </w:pPr>
      <w:r>
        <w:rPr>
          <w:rFonts w:eastAsia="Calibri"/>
          <w:lang w:eastAsia="en-NZ"/>
        </w:rPr>
        <w:t>Rationale</w:t>
      </w:r>
    </w:p>
    <w:p w:rsidR="004D1D65" w:rsidRDefault="004D1D65" w:rsidP="004D1D65">
      <w:r w:rsidRPr="000759DB">
        <w:t xml:space="preserve">The aim of this standard is to </w:t>
      </w:r>
      <w:r>
        <w:t>standardise data collection f</w:t>
      </w:r>
      <w:r w:rsidRPr="000759DB">
        <w:t>or lung cancer to integrate demographic, diagnostic, treatment, outcome and other medical information</w:t>
      </w:r>
      <w:r>
        <w:t>,</w:t>
      </w:r>
      <w:r w:rsidRPr="000759DB">
        <w:t xml:space="preserve"> to contribute to service and clinical performance monitoring and research</w:t>
      </w:r>
      <w:r>
        <w:t xml:space="preserve">. Ultimately, this will </w:t>
      </w:r>
      <w:r w:rsidRPr="000759DB">
        <w:t>improve patient outcomes.</w:t>
      </w:r>
    </w:p>
    <w:p w:rsidR="004D1D65" w:rsidRPr="004602CB" w:rsidRDefault="004D1D65" w:rsidP="004D1D65">
      <w:r>
        <w:t>T</w:t>
      </w:r>
      <w:r w:rsidRPr="000759DB">
        <w:t xml:space="preserve">here is currently no national cancer database other than </w:t>
      </w:r>
      <w:r>
        <w:t xml:space="preserve">the New Zealand Cancer Registry. Until a national cancer database is available, services should collect </w:t>
      </w:r>
      <w:r w:rsidRPr="000759DB">
        <w:t xml:space="preserve">information on patients with lung cancer systematically </w:t>
      </w:r>
      <w:r>
        <w:t>i</w:t>
      </w:r>
      <w:r w:rsidRPr="000759DB">
        <w:t xml:space="preserve">n </w:t>
      </w:r>
      <w:r>
        <w:t xml:space="preserve">a </w:t>
      </w:r>
      <w:r w:rsidRPr="000759DB">
        <w:t>local o</w:t>
      </w:r>
      <w:r>
        <w:t>r regional lung cancer database,</w:t>
      </w:r>
      <w:r w:rsidRPr="000759DB">
        <w:t xml:space="preserve"> to support multidisciplinary cancer care and </w:t>
      </w:r>
      <w:r>
        <w:t xml:space="preserve">to </w:t>
      </w:r>
      <w:r w:rsidRPr="000759DB">
        <w:t>allow future local, regional and national collation and analysis.</w:t>
      </w:r>
    </w:p>
    <w:p w:rsidR="004D1D65" w:rsidRPr="009337F8" w:rsidRDefault="004D1D65" w:rsidP="004D1D65">
      <w:pPr>
        <w:pStyle w:val="Heading3"/>
        <w:rPr>
          <w:rFonts w:eastAsia="Calibri"/>
          <w:lang w:eastAsia="en-NZ"/>
        </w:rPr>
      </w:pPr>
      <w:r>
        <w:rPr>
          <w:rFonts w:eastAsia="Calibri"/>
          <w:lang w:eastAsia="en-NZ"/>
        </w:rPr>
        <w:t>How do we measure the standard</w:t>
      </w:r>
    </w:p>
    <w:p w:rsidR="004D1D65" w:rsidRDefault="004D1D65" w:rsidP="004D1D65">
      <w:pPr>
        <w:rPr>
          <w:rFonts w:eastAsia="Calibri"/>
          <w:lang w:eastAsia="en-NZ"/>
        </w:rPr>
      </w:pPr>
      <w:r>
        <w:rPr>
          <w:rFonts w:eastAsia="Calibri"/>
          <w:b/>
          <w:lang w:eastAsia="en-NZ"/>
        </w:rPr>
        <w:t>Numerator:</w:t>
      </w:r>
      <w:r w:rsidRPr="0008595F">
        <w:rPr>
          <w:rFonts w:eastAsia="Calibri"/>
          <w:b/>
          <w:lang w:eastAsia="en-NZ"/>
        </w:rPr>
        <w:t xml:space="preserve"> </w:t>
      </w:r>
      <w:r w:rsidRPr="0008595F">
        <w:rPr>
          <w:rFonts w:eastAsia="Calibri"/>
          <w:lang w:eastAsia="en-NZ"/>
        </w:rPr>
        <w:t>The number of patients entered into the lung cancer database</w:t>
      </w:r>
      <w:r>
        <w:rPr>
          <w:rFonts w:eastAsia="Calibri"/>
          <w:lang w:eastAsia="en-NZ"/>
        </w:rPr>
        <w:t xml:space="preserve"> per network region </w:t>
      </w:r>
      <w:r w:rsidRPr="005701CD">
        <w:rPr>
          <w:rFonts w:eastAsia="Calibri"/>
          <w:lang w:eastAsia="en-NZ"/>
        </w:rPr>
        <w:t>(for a defined period of time)</w:t>
      </w:r>
      <w:r>
        <w:rPr>
          <w:rFonts w:eastAsia="Calibri"/>
          <w:lang w:eastAsia="en-NZ"/>
        </w:rPr>
        <w:t>.</w:t>
      </w:r>
    </w:p>
    <w:p w:rsidR="004D1D65" w:rsidRPr="00C91C9E" w:rsidRDefault="004D1D65" w:rsidP="004D1D65">
      <w:pPr>
        <w:rPr>
          <w:rFonts w:eastAsia="Calibri"/>
          <w:lang w:eastAsia="en-NZ"/>
        </w:rPr>
      </w:pPr>
      <w:r w:rsidRPr="0008595F">
        <w:rPr>
          <w:rFonts w:eastAsia="Calibri"/>
          <w:b/>
          <w:lang w:eastAsia="en-NZ"/>
        </w:rPr>
        <w:t xml:space="preserve">Denominator: </w:t>
      </w:r>
      <w:r w:rsidRPr="0008595F">
        <w:rPr>
          <w:rFonts w:eastAsia="Calibri"/>
          <w:lang w:eastAsia="en-NZ"/>
        </w:rPr>
        <w:t xml:space="preserve">The </w:t>
      </w:r>
      <w:r>
        <w:rPr>
          <w:rFonts w:eastAsia="Calibri"/>
          <w:lang w:eastAsia="en-NZ"/>
        </w:rPr>
        <w:t>number of New Zealand C</w:t>
      </w:r>
      <w:r w:rsidRPr="0008595F">
        <w:rPr>
          <w:rFonts w:eastAsia="Calibri"/>
          <w:lang w:eastAsia="en-NZ"/>
        </w:rPr>
        <w:t xml:space="preserve">ancer </w:t>
      </w:r>
      <w:r>
        <w:rPr>
          <w:rFonts w:eastAsia="Calibri"/>
          <w:lang w:eastAsia="en-NZ"/>
        </w:rPr>
        <w:t>R</w:t>
      </w:r>
      <w:r w:rsidRPr="0008595F">
        <w:rPr>
          <w:rFonts w:eastAsia="Calibri"/>
          <w:lang w:eastAsia="en-NZ"/>
        </w:rPr>
        <w:t>egistry</w:t>
      </w:r>
      <w:r>
        <w:rPr>
          <w:rFonts w:eastAsia="Calibri"/>
          <w:lang w:eastAsia="en-NZ"/>
        </w:rPr>
        <w:t>-</w:t>
      </w:r>
      <w:r w:rsidRPr="0008595F">
        <w:rPr>
          <w:rFonts w:eastAsia="Calibri"/>
          <w:lang w:eastAsia="en-NZ"/>
        </w:rPr>
        <w:t>identified patients diagnosed with lung cancer</w:t>
      </w:r>
      <w:r>
        <w:rPr>
          <w:rFonts w:eastAsia="Calibri"/>
          <w:lang w:eastAsia="en-NZ"/>
        </w:rPr>
        <w:t xml:space="preserve"> per network region.</w:t>
      </w:r>
    </w:p>
    <w:p w:rsidR="004D1D65" w:rsidRPr="00207C7C" w:rsidRDefault="004D1D65" w:rsidP="004D1D65">
      <w:pPr>
        <w:pStyle w:val="Heading3"/>
        <w:rPr>
          <w:rFonts w:eastAsia="Calibri"/>
          <w:lang w:eastAsia="en-NZ"/>
        </w:rPr>
      </w:pPr>
      <w:r>
        <w:rPr>
          <w:rFonts w:eastAsia="Calibri"/>
          <w:lang w:eastAsia="en-NZ"/>
        </w:rPr>
        <w:t>Target</w:t>
      </w:r>
    </w:p>
    <w:p w:rsidR="004D1D65" w:rsidRPr="007F36E4" w:rsidRDefault="004D1D65" w:rsidP="004D1D65">
      <w:pPr>
        <w:rPr>
          <w:rFonts w:eastAsia="Calibri"/>
          <w:lang w:eastAsia="en-NZ"/>
        </w:rPr>
      </w:pPr>
      <w:r>
        <w:rPr>
          <w:rFonts w:eastAsia="Calibri"/>
          <w:lang w:eastAsia="en-NZ"/>
        </w:rPr>
        <w:t>100 percent of patients meet the standard.</w:t>
      </w:r>
    </w:p>
    <w:p w:rsidR="004D1D65" w:rsidRPr="007F36E4" w:rsidRDefault="004D1D65" w:rsidP="004D1D65">
      <w:pPr>
        <w:pStyle w:val="Heading3"/>
        <w:rPr>
          <w:rFonts w:eastAsia="Calibri"/>
        </w:rPr>
      </w:pPr>
      <w:r w:rsidRPr="007F36E4">
        <w:rPr>
          <w:rFonts w:eastAsia="Calibri"/>
        </w:rPr>
        <w:t>Monitoring requirement</w:t>
      </w:r>
    </w:p>
    <w:p w:rsidR="004D1D65" w:rsidRPr="007F36E4" w:rsidRDefault="004D1D65" w:rsidP="004D1D65">
      <w:pPr>
        <w:rPr>
          <w:rFonts w:eastAsia="Calibri"/>
        </w:rPr>
      </w:pPr>
      <w:r>
        <w:rPr>
          <w:rFonts w:eastAsia="Calibri"/>
        </w:rPr>
        <w:t>Six-monthly report to regional cancer network and regional lung cancer work group.</w:t>
      </w:r>
    </w:p>
    <w:p w:rsidR="004812C2" w:rsidRDefault="004812C2" w:rsidP="004D1D65"/>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4D1D65" w:rsidRDefault="00B850E5" w:rsidP="004D1D65">
            <w:pPr>
              <w:pStyle w:val="Heading2"/>
              <w:spacing w:before="120"/>
              <w:rPr>
                <w:sz w:val="24"/>
                <w:szCs w:val="24"/>
              </w:rPr>
            </w:pPr>
            <w:bookmarkStart w:id="100" w:name="_Toc448737436"/>
            <w:r w:rsidRPr="004D1D65">
              <w:rPr>
                <w:sz w:val="24"/>
                <w:szCs w:val="24"/>
              </w:rPr>
              <w:lastRenderedPageBreak/>
              <w:t xml:space="preserve">Standard </w:t>
            </w:r>
            <w:r w:rsidR="004D1D65" w:rsidRPr="004D1D65">
              <w:rPr>
                <w:sz w:val="24"/>
                <w:szCs w:val="24"/>
              </w:rPr>
              <w:t>10</w:t>
            </w:r>
            <w:r w:rsidRPr="004D1D65">
              <w:rPr>
                <w:sz w:val="24"/>
                <w:szCs w:val="24"/>
              </w:rPr>
              <w:t>.</w:t>
            </w:r>
            <w:r w:rsidR="004D1D65" w:rsidRPr="004D1D65">
              <w:rPr>
                <w:sz w:val="24"/>
                <w:szCs w:val="24"/>
              </w:rPr>
              <w:t>2</w:t>
            </w:r>
            <w:bookmarkEnd w:id="100"/>
          </w:p>
        </w:tc>
        <w:tc>
          <w:tcPr>
            <w:tcW w:w="6095" w:type="dxa"/>
            <w:shd w:val="clear" w:color="auto" w:fill="auto"/>
          </w:tcPr>
          <w:p w:rsidR="00B850E5" w:rsidRPr="006E7C35" w:rsidRDefault="004D1D65" w:rsidP="004D1D65">
            <w:pPr>
              <w:pStyle w:val="TableText"/>
              <w:keepNext/>
            </w:pPr>
            <w:r w:rsidRPr="00F871D8">
              <w:rPr>
                <w:rFonts w:eastAsia="Calibri"/>
              </w:rPr>
              <w:t xml:space="preserve">Each regional cancer centre or unit managing patients with lung cancer </w:t>
            </w:r>
            <w:r>
              <w:rPr>
                <w:rFonts w:eastAsia="Calibri"/>
              </w:rPr>
              <w:t xml:space="preserve">should employ </w:t>
            </w:r>
            <w:r w:rsidRPr="00F871D8">
              <w:rPr>
                <w:rFonts w:eastAsia="Calibri"/>
              </w:rPr>
              <w:t>designated lead clinicians with specialist knowledge of lung cancer to provide leadership.</w:t>
            </w:r>
            <w:r>
              <w:rPr>
                <w:rFonts w:eastAsia="Calibri"/>
              </w:rPr>
              <w:t xml:space="preserve"> A regional lung cancer work group should be established to facilitate this.</w:t>
            </w:r>
          </w:p>
        </w:tc>
      </w:tr>
    </w:tbl>
    <w:p w:rsidR="004D1D65" w:rsidRPr="007F36E4" w:rsidRDefault="004D1D65" w:rsidP="004D1D65">
      <w:pPr>
        <w:pStyle w:val="Heading3"/>
        <w:rPr>
          <w:rFonts w:eastAsia="Calibri"/>
          <w:lang w:eastAsia="en-NZ"/>
        </w:rPr>
      </w:pPr>
      <w:r>
        <w:rPr>
          <w:rFonts w:eastAsia="Calibri"/>
          <w:lang w:eastAsia="en-NZ"/>
        </w:rPr>
        <w:t>Rationale</w:t>
      </w:r>
    </w:p>
    <w:p w:rsidR="004D1D65" w:rsidRPr="004602CB" w:rsidRDefault="004D1D65" w:rsidP="004D1D65">
      <w:r>
        <w:t>Clinical leadership enables services to direct resources to where they will have the greatest impact.</w:t>
      </w:r>
    </w:p>
    <w:p w:rsidR="004D1D65" w:rsidRPr="009337F8" w:rsidRDefault="004D1D65" w:rsidP="004D1D65">
      <w:pPr>
        <w:pStyle w:val="Heading3"/>
        <w:rPr>
          <w:rFonts w:eastAsia="Calibri"/>
          <w:lang w:eastAsia="en-NZ"/>
        </w:rPr>
      </w:pPr>
      <w:r>
        <w:rPr>
          <w:rFonts w:eastAsia="Calibri"/>
          <w:lang w:eastAsia="en-NZ"/>
        </w:rPr>
        <w:t>How do we measure the standard</w:t>
      </w:r>
    </w:p>
    <w:p w:rsidR="004D1D65" w:rsidRPr="00C91C9E" w:rsidRDefault="004D1D65" w:rsidP="004D1D65">
      <w:pPr>
        <w:rPr>
          <w:rFonts w:eastAsia="Calibri"/>
          <w:lang w:eastAsia="en-NZ"/>
        </w:rPr>
      </w:pPr>
      <w:r>
        <w:rPr>
          <w:rFonts w:eastAsia="Calibri"/>
          <w:lang w:eastAsia="en-NZ"/>
        </w:rPr>
        <w:t>Presence of a clinical leader and evidence of regular regional lung cancer work group meetings.</w:t>
      </w:r>
    </w:p>
    <w:p w:rsidR="004D1D65" w:rsidRPr="006A69AA" w:rsidRDefault="004D1D65" w:rsidP="004D1D65">
      <w:pPr>
        <w:pStyle w:val="Heading3"/>
        <w:rPr>
          <w:rFonts w:eastAsia="Calibri"/>
          <w:lang w:eastAsia="en-NZ"/>
        </w:rPr>
      </w:pPr>
      <w:r>
        <w:rPr>
          <w:rFonts w:eastAsia="Calibri"/>
          <w:lang w:eastAsia="en-NZ"/>
        </w:rPr>
        <w:t>Target</w:t>
      </w:r>
    </w:p>
    <w:p w:rsidR="004D1D65" w:rsidRPr="007F36E4" w:rsidRDefault="004D1D65" w:rsidP="004D1D65">
      <w:pPr>
        <w:rPr>
          <w:rFonts w:eastAsia="Calibri"/>
          <w:lang w:eastAsia="en-NZ"/>
        </w:rPr>
      </w:pPr>
      <w:r>
        <w:rPr>
          <w:rFonts w:eastAsia="Calibri"/>
          <w:lang w:eastAsia="en-NZ"/>
        </w:rPr>
        <w:t>All relevant centres and units appoint clinical leaders and demonstrate evidence of at least one annual regional lung cancer work group meeting.</w:t>
      </w:r>
    </w:p>
    <w:p w:rsidR="004D1D65" w:rsidRPr="007F36E4" w:rsidRDefault="004D1D65" w:rsidP="004D1D65">
      <w:pPr>
        <w:pStyle w:val="Heading3"/>
        <w:rPr>
          <w:rFonts w:eastAsia="Calibri"/>
        </w:rPr>
      </w:pPr>
      <w:r w:rsidRPr="007F36E4">
        <w:rPr>
          <w:rFonts w:eastAsia="Calibri"/>
        </w:rPr>
        <w:t>Monitoring requirement</w:t>
      </w:r>
    </w:p>
    <w:p w:rsidR="004D1D65" w:rsidRPr="007F36E4" w:rsidRDefault="004D1D65" w:rsidP="004D1D65">
      <w:pPr>
        <w:rPr>
          <w:rFonts w:eastAsia="Calibri"/>
        </w:rPr>
      </w:pPr>
      <w:r>
        <w:rPr>
          <w:rFonts w:eastAsia="Calibri"/>
        </w:rPr>
        <w:t>Annual report to regional cancer network and regional lung cancer work group.</w:t>
      </w:r>
    </w:p>
    <w:p w:rsidR="00674C9F" w:rsidRDefault="00674C9F" w:rsidP="00B850E5"/>
    <w:tbl>
      <w:tblPr>
        <w:tblW w:w="7938" w:type="dxa"/>
        <w:tblInd w:w="57" w:type="dxa"/>
        <w:tblBorders>
          <w:top w:val="single" w:sz="4" w:space="0" w:color="8C9640"/>
          <w:bottom w:val="single" w:sz="4" w:space="0" w:color="8C9640"/>
        </w:tblBorders>
        <w:tblLayout w:type="fixed"/>
        <w:tblCellMar>
          <w:left w:w="57" w:type="dxa"/>
          <w:right w:w="57" w:type="dxa"/>
        </w:tblCellMar>
        <w:tblLook w:val="04A0" w:firstRow="1" w:lastRow="0" w:firstColumn="1" w:lastColumn="0" w:noHBand="0" w:noVBand="1"/>
      </w:tblPr>
      <w:tblGrid>
        <w:gridCol w:w="1843"/>
        <w:gridCol w:w="6095"/>
      </w:tblGrid>
      <w:tr w:rsidR="00B850E5" w:rsidRPr="006E7C35" w:rsidTr="00640EE6">
        <w:trPr>
          <w:cantSplit/>
        </w:trPr>
        <w:tc>
          <w:tcPr>
            <w:tcW w:w="1843" w:type="dxa"/>
            <w:shd w:val="clear" w:color="auto" w:fill="auto"/>
          </w:tcPr>
          <w:p w:rsidR="00B850E5" w:rsidRPr="004D1D65" w:rsidRDefault="00B850E5" w:rsidP="004D1D65">
            <w:pPr>
              <w:pStyle w:val="Heading2"/>
              <w:spacing w:before="120"/>
              <w:rPr>
                <w:sz w:val="24"/>
                <w:szCs w:val="24"/>
              </w:rPr>
            </w:pPr>
            <w:bookmarkStart w:id="101" w:name="_Toc448737437"/>
            <w:r w:rsidRPr="004D1D65">
              <w:rPr>
                <w:sz w:val="24"/>
                <w:szCs w:val="24"/>
              </w:rPr>
              <w:lastRenderedPageBreak/>
              <w:t xml:space="preserve">Standard </w:t>
            </w:r>
            <w:r w:rsidR="004D1D65" w:rsidRPr="004D1D65">
              <w:rPr>
                <w:sz w:val="24"/>
                <w:szCs w:val="24"/>
              </w:rPr>
              <w:t>10</w:t>
            </w:r>
            <w:r w:rsidRPr="004D1D65">
              <w:rPr>
                <w:sz w:val="24"/>
                <w:szCs w:val="24"/>
              </w:rPr>
              <w:t>.</w:t>
            </w:r>
            <w:r w:rsidR="004D1D65" w:rsidRPr="004D1D65">
              <w:rPr>
                <w:sz w:val="24"/>
                <w:szCs w:val="24"/>
              </w:rPr>
              <w:t>3</w:t>
            </w:r>
            <w:bookmarkEnd w:id="101"/>
          </w:p>
        </w:tc>
        <w:tc>
          <w:tcPr>
            <w:tcW w:w="6095" w:type="dxa"/>
            <w:shd w:val="clear" w:color="auto" w:fill="auto"/>
          </w:tcPr>
          <w:p w:rsidR="00B850E5" w:rsidRPr="006E7C35" w:rsidRDefault="004D1D65" w:rsidP="004D1D65">
            <w:pPr>
              <w:pStyle w:val="TableText"/>
              <w:keepNext/>
            </w:pPr>
            <w:r w:rsidRPr="00B46696">
              <w:t xml:space="preserve">Patients with cancer </w:t>
            </w:r>
            <w:r>
              <w:t>should be</w:t>
            </w:r>
            <w:r w:rsidRPr="00B46696">
              <w:t xml:space="preserve"> offered the opportunity to participate in research projects and clinical trials where they are available.</w:t>
            </w:r>
          </w:p>
        </w:tc>
      </w:tr>
    </w:tbl>
    <w:p w:rsidR="004D1D65" w:rsidRPr="007F36E4" w:rsidRDefault="004D1D65" w:rsidP="004D1D65">
      <w:pPr>
        <w:pStyle w:val="Heading3"/>
        <w:rPr>
          <w:rFonts w:eastAsia="Calibri"/>
          <w:lang w:eastAsia="en-NZ"/>
        </w:rPr>
      </w:pPr>
      <w:bookmarkStart w:id="102" w:name="_Toc297732852"/>
      <w:bookmarkStart w:id="103" w:name="_Toc399763993"/>
      <w:r>
        <w:rPr>
          <w:rFonts w:eastAsia="Calibri"/>
          <w:lang w:eastAsia="en-NZ"/>
        </w:rPr>
        <w:t>Rationale</w:t>
      </w:r>
    </w:p>
    <w:p w:rsidR="004D1D65" w:rsidRPr="007F36E4" w:rsidRDefault="004D1D65" w:rsidP="004D1D65">
      <w:pPr>
        <w:keepNext/>
        <w:rPr>
          <w:rFonts w:eastAsia="Calibri"/>
          <w:lang w:eastAsia="en-NZ"/>
        </w:rPr>
      </w:pPr>
      <w:r>
        <w:rPr>
          <w:rFonts w:eastAsia="Calibri"/>
          <w:lang w:eastAsia="en-NZ"/>
        </w:rPr>
        <w:t>Patients who take part in clinical trials have better outcomes, and units actively engaging in clinical trials tend to provide better care for all their patients.</w:t>
      </w:r>
    </w:p>
    <w:p w:rsidR="004D1D65" w:rsidRPr="009337F8" w:rsidRDefault="004D1D65" w:rsidP="004D1D65">
      <w:pPr>
        <w:pStyle w:val="Heading3"/>
        <w:rPr>
          <w:rFonts w:eastAsia="Calibri"/>
          <w:lang w:eastAsia="en-NZ"/>
        </w:rPr>
      </w:pPr>
      <w:r>
        <w:rPr>
          <w:rFonts w:eastAsia="Calibri"/>
          <w:lang w:eastAsia="en-NZ"/>
        </w:rPr>
        <w:t>How do we measure the standard</w:t>
      </w:r>
    </w:p>
    <w:p w:rsidR="004D1D65" w:rsidRPr="00E45555" w:rsidRDefault="004D1D65" w:rsidP="004D1D65">
      <w:pPr>
        <w:keepNext/>
        <w:rPr>
          <w:rFonts w:eastAsia="Calibri"/>
        </w:rPr>
      </w:pPr>
      <w:r w:rsidRPr="00B34A6E">
        <w:rPr>
          <w:rFonts w:eastAsia="Calibri"/>
          <w:b/>
        </w:rPr>
        <w:t xml:space="preserve">Numerator: </w:t>
      </w:r>
      <w:r w:rsidRPr="00B34A6E">
        <w:rPr>
          <w:rFonts w:eastAsia="Calibri"/>
        </w:rPr>
        <w:t>Number of lung cancer patients entered into</w:t>
      </w:r>
      <w:r>
        <w:rPr>
          <w:rFonts w:eastAsia="Calibri"/>
        </w:rPr>
        <w:t xml:space="preserve"> clinical </w:t>
      </w:r>
      <w:r w:rsidRPr="00B34A6E">
        <w:rPr>
          <w:rFonts w:eastAsia="Calibri"/>
        </w:rPr>
        <w:t>trial</w:t>
      </w:r>
      <w:r>
        <w:rPr>
          <w:rFonts w:eastAsia="Calibri"/>
        </w:rPr>
        <w:t>, research or audit.</w:t>
      </w:r>
    </w:p>
    <w:p w:rsidR="004D1D65" w:rsidRPr="00C91C9E" w:rsidRDefault="004D1D65" w:rsidP="004D1D65">
      <w:pPr>
        <w:keepNext/>
        <w:rPr>
          <w:rFonts w:eastAsia="Calibri"/>
          <w:lang w:eastAsia="en-NZ"/>
        </w:rPr>
      </w:pPr>
      <w:r w:rsidRPr="00B34A6E">
        <w:rPr>
          <w:rFonts w:eastAsia="Calibri"/>
          <w:b/>
          <w:lang w:eastAsia="en-NZ"/>
        </w:rPr>
        <w:t xml:space="preserve">Denominator: </w:t>
      </w:r>
      <w:r w:rsidRPr="00B34A6E">
        <w:rPr>
          <w:rFonts w:eastAsia="Calibri"/>
          <w:lang w:eastAsia="en-NZ"/>
        </w:rPr>
        <w:t>Total number of lung cancer patients discussed at a</w:t>
      </w:r>
      <w:r>
        <w:rPr>
          <w:rFonts w:eastAsia="Calibri"/>
          <w:lang w:eastAsia="en-NZ"/>
        </w:rPr>
        <w:t>n</w:t>
      </w:r>
      <w:r w:rsidRPr="00B34A6E">
        <w:rPr>
          <w:rFonts w:eastAsia="Calibri"/>
          <w:lang w:eastAsia="en-NZ"/>
        </w:rPr>
        <w:t xml:space="preserve"> MDM meeting over a</w:t>
      </w:r>
      <w:r>
        <w:rPr>
          <w:rFonts w:eastAsia="Calibri"/>
          <w:lang w:eastAsia="en-NZ"/>
        </w:rPr>
        <w:t xml:space="preserve">n annual </w:t>
      </w:r>
      <w:r w:rsidRPr="00B34A6E">
        <w:rPr>
          <w:rFonts w:eastAsia="Calibri"/>
          <w:lang w:eastAsia="en-NZ"/>
        </w:rPr>
        <w:t>period</w:t>
      </w:r>
      <w:r>
        <w:rPr>
          <w:rFonts w:eastAsia="Calibri"/>
          <w:lang w:eastAsia="en-NZ"/>
        </w:rPr>
        <w:t>.</w:t>
      </w:r>
    </w:p>
    <w:p w:rsidR="004D1D65" w:rsidRPr="009337F8" w:rsidRDefault="004D1D65" w:rsidP="004D1D65">
      <w:pPr>
        <w:pStyle w:val="Heading3"/>
        <w:rPr>
          <w:rFonts w:eastAsia="Calibri"/>
          <w:lang w:eastAsia="en-NZ"/>
        </w:rPr>
      </w:pPr>
      <w:r>
        <w:rPr>
          <w:rFonts w:eastAsia="Calibri"/>
          <w:lang w:eastAsia="en-NZ"/>
        </w:rPr>
        <w:t>Target</w:t>
      </w:r>
    </w:p>
    <w:p w:rsidR="004D1D65" w:rsidRPr="007F36E4" w:rsidRDefault="004D1D65" w:rsidP="004D1D65">
      <w:pPr>
        <w:rPr>
          <w:rFonts w:eastAsia="Calibri"/>
        </w:rPr>
      </w:pPr>
      <w:proofErr w:type="gramStart"/>
      <w:r>
        <w:rPr>
          <w:rFonts w:eastAsia="Calibri"/>
        </w:rPr>
        <w:t>Evidence that 5</w:t>
      </w:r>
      <w:r w:rsidR="00FC2344">
        <w:rPr>
          <w:rFonts w:eastAsia="Calibri"/>
        </w:rPr>
        <w:t xml:space="preserve"> percent</w:t>
      </w:r>
      <w:r>
        <w:rPr>
          <w:rFonts w:eastAsia="Calibri"/>
        </w:rPr>
        <w:t xml:space="preserve"> of patients are entered into clinical trials, research or audits in each sub-specialty within each region.</w:t>
      </w:r>
      <w:proofErr w:type="gramEnd"/>
    </w:p>
    <w:p w:rsidR="004D1D65" w:rsidRPr="007F36E4" w:rsidRDefault="004D1D65" w:rsidP="004D1D65">
      <w:pPr>
        <w:pStyle w:val="Heading3"/>
        <w:rPr>
          <w:rFonts w:eastAsia="Calibri"/>
        </w:rPr>
      </w:pPr>
      <w:r w:rsidRPr="007F36E4">
        <w:rPr>
          <w:rFonts w:eastAsia="Calibri"/>
        </w:rPr>
        <w:t>Monitoring requirement</w:t>
      </w:r>
    </w:p>
    <w:p w:rsidR="004D1D65" w:rsidRPr="007F36E4" w:rsidRDefault="004D1D65" w:rsidP="004D1D65">
      <w:pPr>
        <w:rPr>
          <w:rFonts w:eastAsia="Calibri"/>
        </w:rPr>
      </w:pPr>
      <w:r>
        <w:rPr>
          <w:rFonts w:eastAsia="Calibri"/>
        </w:rPr>
        <w:t>Annual report to regional cancer network and regional lung cancer work group.</w:t>
      </w:r>
    </w:p>
    <w:p w:rsidR="00F044A7" w:rsidRPr="00AF6474" w:rsidRDefault="00F044A7" w:rsidP="004D1D65">
      <w:pPr>
        <w:pStyle w:val="Heading2"/>
      </w:pPr>
      <w:bookmarkStart w:id="104" w:name="_Toc448737438"/>
      <w:bookmarkEnd w:id="102"/>
      <w:bookmarkEnd w:id="103"/>
      <w:r w:rsidRPr="00AF6474">
        <w:t>Good practice</w:t>
      </w:r>
      <w:r w:rsidR="00AF6474">
        <w:t xml:space="preserve"> points</w:t>
      </w:r>
      <w:bookmarkEnd w:id="104"/>
    </w:p>
    <w:p w:rsidR="004812C2" w:rsidRPr="000759DB" w:rsidRDefault="00DD0DAF" w:rsidP="004D1D65">
      <w:pPr>
        <w:ind w:left="851" w:hanging="851"/>
      </w:pPr>
      <w:r>
        <w:t>10</w:t>
      </w:r>
      <w:r w:rsidR="004812C2" w:rsidRPr="000759DB">
        <w:t>.1</w:t>
      </w:r>
      <w:r>
        <w:t>.1</w:t>
      </w:r>
      <w:r w:rsidR="004812C2" w:rsidRPr="000759DB">
        <w:tab/>
        <w:t>P</w:t>
      </w:r>
      <w:r w:rsidR="00FF1E57">
        <w:t>ractitioners should inform p</w:t>
      </w:r>
      <w:r w:rsidR="004812C2" w:rsidRPr="000759DB">
        <w:t xml:space="preserve">atients that </w:t>
      </w:r>
      <w:r w:rsidR="00FF1E57">
        <w:t xml:space="preserve">their </w:t>
      </w:r>
      <w:r w:rsidR="004812C2" w:rsidRPr="000759DB">
        <w:t xml:space="preserve">information is being recorded in a lung cancer database to </w:t>
      </w:r>
      <w:r w:rsidR="004812C2">
        <w:t>help</w:t>
      </w:r>
      <w:r w:rsidR="004812C2" w:rsidRPr="000759DB">
        <w:t xml:space="preserve"> the multidisciplinary team </w:t>
      </w:r>
      <w:r w:rsidR="00036932">
        <w:t>recommend</w:t>
      </w:r>
      <w:r w:rsidR="00036932" w:rsidRPr="000759DB">
        <w:t xml:space="preserve"> </w:t>
      </w:r>
      <w:r w:rsidR="004812C2" w:rsidRPr="000759DB">
        <w:t>a treatment plan and to monitor and evaluate access to services.</w:t>
      </w:r>
    </w:p>
    <w:p w:rsidR="004812C2" w:rsidRDefault="00DD0DAF" w:rsidP="004D1D65">
      <w:pPr>
        <w:ind w:left="851" w:hanging="851"/>
      </w:pPr>
      <w:r>
        <w:t>10.1</w:t>
      </w:r>
      <w:r w:rsidR="004812C2">
        <w:t>.2</w:t>
      </w:r>
      <w:r w:rsidR="004812C2">
        <w:tab/>
        <w:t xml:space="preserve">Where data is collected, it should </w:t>
      </w:r>
      <w:r w:rsidR="00036932">
        <w:t>comply</w:t>
      </w:r>
      <w:r w:rsidR="004812C2">
        <w:t xml:space="preserve"> with</w:t>
      </w:r>
      <w:r>
        <w:t xml:space="preserve"> the National Cancer Core Data </w:t>
      </w:r>
      <w:r w:rsidR="004812C2">
        <w:t>Definition</w:t>
      </w:r>
      <w:r w:rsidR="00036932">
        <w:t>s</w:t>
      </w:r>
      <w:r w:rsidR="00FF1E57">
        <w:t xml:space="preserve"> (National Health IT Board 2011)</w:t>
      </w:r>
      <w:r w:rsidR="004812C2">
        <w:t>.</w:t>
      </w:r>
    </w:p>
    <w:p w:rsidR="00E64E91" w:rsidRPr="008141A2" w:rsidRDefault="00E64E91" w:rsidP="00B850E5">
      <w:pPr>
        <w:pStyle w:val="Heading1"/>
        <w:ind w:firstLine="0"/>
        <w:rPr>
          <w:szCs w:val="22"/>
        </w:rPr>
      </w:pPr>
      <w:r>
        <w:br w:type="page"/>
      </w:r>
      <w:bookmarkStart w:id="105" w:name="_Toc290903024"/>
      <w:bookmarkStart w:id="106" w:name="_Toc399763995"/>
      <w:bookmarkStart w:id="107" w:name="_Toc448737439"/>
      <w:bookmarkEnd w:id="95"/>
      <w:r w:rsidRPr="008141A2">
        <w:rPr>
          <w:szCs w:val="22"/>
        </w:rPr>
        <w:lastRenderedPageBreak/>
        <w:t>Appendix 1</w:t>
      </w:r>
      <w:proofErr w:type="gramStart"/>
      <w:r w:rsidRPr="008141A2">
        <w:rPr>
          <w:szCs w:val="22"/>
        </w:rPr>
        <w:t>:</w:t>
      </w:r>
      <w:proofErr w:type="gramEnd"/>
      <w:r w:rsidR="00B850E5">
        <w:rPr>
          <w:szCs w:val="22"/>
        </w:rPr>
        <w:br/>
      </w:r>
      <w:r w:rsidRPr="008141A2">
        <w:rPr>
          <w:szCs w:val="22"/>
        </w:rPr>
        <w:t>National Lung Cancer Working Group Membership</w:t>
      </w:r>
      <w:bookmarkEnd w:id="105"/>
      <w:bookmarkEnd w:id="106"/>
      <w:bookmarkEnd w:id="107"/>
    </w:p>
    <w:p w:rsidR="00E64E91" w:rsidRPr="00AA18A6" w:rsidRDefault="00DE17D8" w:rsidP="009F5F2E">
      <w:pPr>
        <w:pStyle w:val="Heading3"/>
      </w:pPr>
      <w:r>
        <w:t>Chair</w:t>
      </w:r>
    </w:p>
    <w:p w:rsidR="00E64E91" w:rsidRPr="00AA18A6" w:rsidRDefault="00E64E91" w:rsidP="009F5F2E">
      <w:r w:rsidRPr="00AA18A6">
        <w:t>Dr Charles de Groot</w:t>
      </w:r>
      <w:r w:rsidRPr="00F02B3C">
        <w:t xml:space="preserve">, </w:t>
      </w:r>
      <w:r w:rsidR="00BB7205" w:rsidRPr="002D0608">
        <w:t>r</w:t>
      </w:r>
      <w:r w:rsidR="005D4148" w:rsidRPr="002D0608">
        <w:t>adiation</w:t>
      </w:r>
      <w:r w:rsidRPr="002D0608">
        <w:t xml:space="preserve"> </w:t>
      </w:r>
      <w:r w:rsidR="00BB7205" w:rsidRPr="002D0608">
        <w:t>o</w:t>
      </w:r>
      <w:r w:rsidRPr="002D0608">
        <w:t>ncologist, Waikato Hospital</w:t>
      </w:r>
    </w:p>
    <w:p w:rsidR="00E64E91" w:rsidRPr="00DE17D8" w:rsidRDefault="00DE17D8" w:rsidP="009F5F2E">
      <w:pPr>
        <w:pStyle w:val="Heading3"/>
      </w:pPr>
      <w:r>
        <w:t>Members</w:t>
      </w:r>
    </w:p>
    <w:p w:rsidR="00E64E91" w:rsidRPr="00AA18A6" w:rsidRDefault="00E64E91" w:rsidP="009F5F2E">
      <w:r w:rsidRPr="002D0608">
        <w:t xml:space="preserve">Dr Scott Babington, </w:t>
      </w:r>
      <w:r w:rsidR="00BB7205" w:rsidRPr="002D0608">
        <w:t>r</w:t>
      </w:r>
      <w:r w:rsidRPr="002D0608">
        <w:t xml:space="preserve">adiation </w:t>
      </w:r>
      <w:r w:rsidR="00BB7205" w:rsidRPr="002D0608">
        <w:t>o</w:t>
      </w:r>
      <w:r w:rsidRPr="002D0608">
        <w:t>ncologist, Christchurch Hospital</w:t>
      </w:r>
    </w:p>
    <w:p w:rsidR="00E64E91" w:rsidRPr="002D0608" w:rsidRDefault="00E64E91" w:rsidP="009F5F2E">
      <w:pPr>
        <w:rPr>
          <w:color w:val="000000"/>
        </w:rPr>
      </w:pPr>
      <w:r w:rsidRPr="008961FE">
        <w:t xml:space="preserve">Dr Ben Brockway, </w:t>
      </w:r>
      <w:r w:rsidR="00BB7205" w:rsidRPr="002D0608">
        <w:rPr>
          <w:color w:val="000000"/>
        </w:rPr>
        <w:t>c</w:t>
      </w:r>
      <w:r w:rsidRPr="002D0608">
        <w:rPr>
          <w:color w:val="000000"/>
        </w:rPr>
        <w:t xml:space="preserve">onsultant and </w:t>
      </w:r>
      <w:r w:rsidR="00BB7205" w:rsidRPr="002D0608">
        <w:rPr>
          <w:color w:val="000000"/>
        </w:rPr>
        <w:t>s</w:t>
      </w:r>
      <w:r w:rsidRPr="002D0608">
        <w:rPr>
          <w:color w:val="000000"/>
        </w:rPr>
        <w:t xml:space="preserve">enior </w:t>
      </w:r>
      <w:r w:rsidR="00BB7205" w:rsidRPr="002D0608">
        <w:rPr>
          <w:color w:val="000000"/>
        </w:rPr>
        <w:t>l</w:t>
      </w:r>
      <w:r w:rsidRPr="002D0608">
        <w:rPr>
          <w:color w:val="000000"/>
        </w:rPr>
        <w:t xml:space="preserve">ecturer in </w:t>
      </w:r>
      <w:r w:rsidR="00BB7205" w:rsidRPr="002D0608">
        <w:rPr>
          <w:color w:val="000000"/>
        </w:rPr>
        <w:t>r</w:t>
      </w:r>
      <w:r w:rsidRPr="002D0608">
        <w:rPr>
          <w:color w:val="000000"/>
        </w:rPr>
        <w:t xml:space="preserve">espiratory </w:t>
      </w:r>
      <w:r w:rsidR="00BB7205" w:rsidRPr="002D0608">
        <w:rPr>
          <w:color w:val="000000"/>
        </w:rPr>
        <w:t>m</w:t>
      </w:r>
      <w:r w:rsidRPr="002D0608">
        <w:rPr>
          <w:color w:val="000000"/>
        </w:rPr>
        <w:t xml:space="preserve">edicine, Dunedin Hospital and Dunedin School of Medicine, University of </w:t>
      </w:r>
      <w:proofErr w:type="spellStart"/>
      <w:r w:rsidRPr="002D0608">
        <w:rPr>
          <w:color w:val="000000"/>
        </w:rPr>
        <w:t>Otago</w:t>
      </w:r>
      <w:proofErr w:type="spellEnd"/>
      <w:r w:rsidRPr="002D0608">
        <w:rPr>
          <w:color w:val="000000"/>
        </w:rPr>
        <w:t>, Dunedin</w:t>
      </w:r>
    </w:p>
    <w:p w:rsidR="002D0608" w:rsidRDefault="00E64E91" w:rsidP="009F5F2E">
      <w:r>
        <w:t xml:space="preserve">Professor Richard Edwards, </w:t>
      </w:r>
      <w:r w:rsidR="00BB7205">
        <w:t>p</w:t>
      </w:r>
      <w:r>
        <w:t xml:space="preserve">rofessor of </w:t>
      </w:r>
      <w:r w:rsidR="00BB7205">
        <w:t>p</w:t>
      </w:r>
      <w:r>
        <w:t xml:space="preserve">ublic </w:t>
      </w:r>
      <w:r w:rsidR="00BB7205">
        <w:t>h</w:t>
      </w:r>
      <w:r>
        <w:t xml:space="preserve">ealth and </w:t>
      </w:r>
      <w:r w:rsidR="00BB7205">
        <w:t>h</w:t>
      </w:r>
      <w:r>
        <w:t xml:space="preserve">ead of </w:t>
      </w:r>
      <w:r w:rsidR="00BB7205">
        <w:t>d</w:t>
      </w:r>
      <w:r>
        <w:t xml:space="preserve">epartment, University of </w:t>
      </w:r>
      <w:proofErr w:type="spellStart"/>
      <w:r>
        <w:t>Otago</w:t>
      </w:r>
      <w:proofErr w:type="spellEnd"/>
      <w:r>
        <w:t>, Wellington School of Medicine and Health Services</w:t>
      </w:r>
    </w:p>
    <w:p w:rsidR="00E64E91" w:rsidRPr="00AA18A6" w:rsidRDefault="002D5033" w:rsidP="009F5F2E">
      <w:r>
        <w:t xml:space="preserve">Dr Paul Dawkins, </w:t>
      </w:r>
      <w:r w:rsidR="00BB7205">
        <w:t>r</w:t>
      </w:r>
      <w:r w:rsidRPr="00E45555">
        <w:t xml:space="preserve">espiratory </w:t>
      </w:r>
      <w:r w:rsidR="00BB7205">
        <w:t>p</w:t>
      </w:r>
      <w:r w:rsidRPr="00E45555">
        <w:t>hysician</w:t>
      </w:r>
      <w:r w:rsidR="00BB7205">
        <w:t>,</w:t>
      </w:r>
      <w:r>
        <w:t xml:space="preserve"> Counties </w:t>
      </w:r>
      <w:proofErr w:type="spellStart"/>
      <w:r>
        <w:t>Manukau</w:t>
      </w:r>
      <w:proofErr w:type="spellEnd"/>
      <w:r>
        <w:t xml:space="preserve"> DHB</w:t>
      </w:r>
    </w:p>
    <w:p w:rsidR="00E64E91" w:rsidRDefault="00E64E91" w:rsidP="009F5F2E">
      <w:r>
        <w:t xml:space="preserve">Dr James </w:t>
      </w:r>
      <w:proofErr w:type="spellStart"/>
      <w:r>
        <w:t>Entwisle</w:t>
      </w:r>
      <w:proofErr w:type="spellEnd"/>
      <w:r>
        <w:t xml:space="preserve">, </w:t>
      </w:r>
      <w:r w:rsidR="00BB7205">
        <w:t>c</w:t>
      </w:r>
      <w:r>
        <w:t xml:space="preserve">linical </w:t>
      </w:r>
      <w:r w:rsidR="00BB7205">
        <w:t>l</w:t>
      </w:r>
      <w:r>
        <w:t xml:space="preserve">eader, </w:t>
      </w:r>
      <w:r w:rsidR="00BB7205">
        <w:t>r</w:t>
      </w:r>
      <w:r>
        <w:t xml:space="preserve">adiology </w:t>
      </w:r>
      <w:r w:rsidR="00BB7205">
        <w:t>d</w:t>
      </w:r>
      <w:r>
        <w:t>epartment, Wellington Hospital</w:t>
      </w:r>
    </w:p>
    <w:p w:rsidR="00E64E91" w:rsidRPr="002D0608" w:rsidRDefault="00E64E91" w:rsidP="009F5F2E">
      <w:r w:rsidRPr="00AA18A6">
        <w:t xml:space="preserve">Dr </w:t>
      </w:r>
      <w:proofErr w:type="spellStart"/>
      <w:r w:rsidRPr="00AA18A6">
        <w:t>Tana</w:t>
      </w:r>
      <w:proofErr w:type="spellEnd"/>
      <w:r w:rsidRPr="00AA18A6">
        <w:t xml:space="preserve"> Fishman</w:t>
      </w:r>
      <w:r w:rsidR="00C87D69">
        <w:t>,</w:t>
      </w:r>
      <w:r w:rsidRPr="00AA18A6">
        <w:t xml:space="preserve"> </w:t>
      </w:r>
      <w:r w:rsidR="00BB7205" w:rsidRPr="002D0608">
        <w:t>s</w:t>
      </w:r>
      <w:r w:rsidRPr="002D0608">
        <w:t xml:space="preserve">enior </w:t>
      </w:r>
      <w:r w:rsidR="00BB7205" w:rsidRPr="002D0608">
        <w:t>l</w:t>
      </w:r>
      <w:r w:rsidRPr="002D0608">
        <w:t xml:space="preserve">ecturer, University of Auckland Department of General Practice and Primary Health Care; Greenstone Family Clinic, </w:t>
      </w:r>
      <w:proofErr w:type="spellStart"/>
      <w:r w:rsidRPr="002D0608">
        <w:t>Manurewa</w:t>
      </w:r>
      <w:proofErr w:type="spellEnd"/>
      <w:r w:rsidRPr="002D0608">
        <w:t>, Auckland</w:t>
      </w:r>
    </w:p>
    <w:p w:rsidR="00E64E91" w:rsidRPr="00AA18A6" w:rsidRDefault="00E64E91" w:rsidP="009F5F2E">
      <w:r w:rsidRPr="00AA18A6">
        <w:t xml:space="preserve">Dr Greg Frazer, </w:t>
      </w:r>
      <w:r w:rsidR="00647794" w:rsidRPr="002D0608">
        <w:t>respiratory</w:t>
      </w:r>
      <w:r w:rsidRPr="002D0608">
        <w:t xml:space="preserve"> and </w:t>
      </w:r>
      <w:r w:rsidR="00BB7205" w:rsidRPr="002D0608">
        <w:t>g</w:t>
      </w:r>
      <w:r w:rsidRPr="002D0608">
        <w:t xml:space="preserve">eneral </w:t>
      </w:r>
      <w:r w:rsidR="00BB7205" w:rsidRPr="002D0608">
        <w:t>p</w:t>
      </w:r>
      <w:r w:rsidRPr="002D0608">
        <w:t xml:space="preserve">hysician, Christchurch Hospital; </w:t>
      </w:r>
      <w:r w:rsidR="00BB7205" w:rsidRPr="002D0608">
        <w:t>c</w:t>
      </w:r>
      <w:r w:rsidRPr="002D0608">
        <w:t xml:space="preserve">linical </w:t>
      </w:r>
      <w:r w:rsidR="00BB7205" w:rsidRPr="002D0608">
        <w:t>s</w:t>
      </w:r>
      <w:r w:rsidRPr="002D0608">
        <w:t xml:space="preserve">enior </w:t>
      </w:r>
      <w:r w:rsidR="00BB7205" w:rsidRPr="002D0608">
        <w:t>l</w:t>
      </w:r>
      <w:r w:rsidRPr="002D0608">
        <w:t xml:space="preserve">ecturer, University of </w:t>
      </w:r>
      <w:proofErr w:type="spellStart"/>
      <w:r w:rsidRPr="002D0608">
        <w:t>Otago</w:t>
      </w:r>
      <w:proofErr w:type="spellEnd"/>
      <w:r w:rsidRPr="002D0608">
        <w:t>, Christchurch</w:t>
      </w:r>
    </w:p>
    <w:p w:rsidR="00E64E91" w:rsidRPr="00AA18A6" w:rsidRDefault="00E64E91" w:rsidP="009F5F2E">
      <w:r w:rsidRPr="008961FE">
        <w:t>Dr David Hamilton,</w:t>
      </w:r>
      <w:r>
        <w:t xml:space="preserve"> </w:t>
      </w:r>
      <w:r w:rsidR="00BB7205">
        <w:t>r</w:t>
      </w:r>
      <w:r>
        <w:t xml:space="preserve">adiation </w:t>
      </w:r>
      <w:r w:rsidR="00BB7205">
        <w:t>o</w:t>
      </w:r>
      <w:r>
        <w:t xml:space="preserve">ncologist, Capital </w:t>
      </w:r>
      <w:r w:rsidR="00BB7205">
        <w:t xml:space="preserve">&amp; </w:t>
      </w:r>
      <w:r>
        <w:t>Coast DHB</w:t>
      </w:r>
    </w:p>
    <w:p w:rsidR="00E64E91" w:rsidRPr="002D0608" w:rsidRDefault="00FF2415" w:rsidP="009F5F2E">
      <w:r>
        <w:t xml:space="preserve">Dianne </w:t>
      </w:r>
      <w:proofErr w:type="spellStart"/>
      <w:r>
        <w:t>Keip</w:t>
      </w:r>
      <w:proofErr w:type="spellEnd"/>
      <w:r w:rsidRPr="00AA18A6">
        <w:t xml:space="preserve">, </w:t>
      </w:r>
      <w:r w:rsidR="00BB7205" w:rsidRPr="002D0608">
        <w:t>c</w:t>
      </w:r>
      <w:r w:rsidRPr="002D0608">
        <w:t xml:space="preserve">linical </w:t>
      </w:r>
      <w:r w:rsidR="00BB7205" w:rsidRPr="002D0608">
        <w:t>c</w:t>
      </w:r>
      <w:r w:rsidR="00B4610E" w:rsidRPr="002D0608">
        <w:t xml:space="preserve">are </w:t>
      </w:r>
      <w:r w:rsidR="00BB7205" w:rsidRPr="002D0608">
        <w:t>c</w:t>
      </w:r>
      <w:r w:rsidR="00B4610E" w:rsidRPr="002D0608">
        <w:t>oordinator</w:t>
      </w:r>
      <w:r w:rsidRPr="002D0608">
        <w:t xml:space="preserve">, </w:t>
      </w:r>
      <w:r w:rsidR="00B4610E" w:rsidRPr="002D0608">
        <w:t>Hawke</w:t>
      </w:r>
      <w:r w:rsidR="002D0608" w:rsidRPr="002D0608">
        <w:t>’</w:t>
      </w:r>
      <w:r w:rsidR="00B4610E" w:rsidRPr="002D0608">
        <w:t>s Bay</w:t>
      </w:r>
      <w:r w:rsidRPr="002D0608">
        <w:t xml:space="preserve"> DHB</w:t>
      </w:r>
    </w:p>
    <w:p w:rsidR="002D5033" w:rsidRPr="002D0608" w:rsidRDefault="002D5033" w:rsidP="009F5F2E">
      <w:r w:rsidRPr="002D0608">
        <w:t xml:space="preserve">Dr Chris Lewis, </w:t>
      </w:r>
      <w:r w:rsidR="00BB7205" w:rsidRPr="002D0608">
        <w:t>r</w:t>
      </w:r>
      <w:r w:rsidRPr="002D0608">
        <w:t xml:space="preserve">espiratory </w:t>
      </w:r>
      <w:r w:rsidR="00BB7205" w:rsidRPr="002D0608">
        <w:t>s</w:t>
      </w:r>
      <w:r w:rsidRPr="002D0608">
        <w:t>pecialist</w:t>
      </w:r>
      <w:r w:rsidR="00BB7205" w:rsidRPr="002D0608">
        <w:t>,</w:t>
      </w:r>
      <w:r w:rsidRPr="002D0608">
        <w:t xml:space="preserve"> Auckland DHB</w:t>
      </w:r>
    </w:p>
    <w:p w:rsidR="002D5033" w:rsidRDefault="002D5033" w:rsidP="009F5F2E">
      <w:r>
        <w:t xml:space="preserve">Dr Brendan </w:t>
      </w:r>
      <w:proofErr w:type="spellStart"/>
      <w:r>
        <w:t>Luey</w:t>
      </w:r>
      <w:proofErr w:type="spellEnd"/>
      <w:r w:rsidR="00BB7205">
        <w:t>,</w:t>
      </w:r>
      <w:r>
        <w:t xml:space="preserve"> </w:t>
      </w:r>
      <w:r w:rsidR="00BB7205">
        <w:t>c</w:t>
      </w:r>
      <w:r>
        <w:t xml:space="preserve">onsultant </w:t>
      </w:r>
      <w:r w:rsidR="00BB7205">
        <w:t>m</w:t>
      </w:r>
      <w:r>
        <w:t xml:space="preserve">edical </w:t>
      </w:r>
      <w:r w:rsidR="00BB7205">
        <w:t>o</w:t>
      </w:r>
      <w:r>
        <w:t>ncologist</w:t>
      </w:r>
      <w:r w:rsidR="00BB7205">
        <w:t>,</w:t>
      </w:r>
      <w:r>
        <w:t xml:space="preserve"> Capital &amp; Coast </w:t>
      </w:r>
      <w:r w:rsidR="00BB7205">
        <w:t>DHB</w:t>
      </w:r>
    </w:p>
    <w:p w:rsidR="002D0608" w:rsidRDefault="00B34A6E" w:rsidP="009F5F2E">
      <w:proofErr w:type="spellStart"/>
      <w:r>
        <w:t>Bubsie</w:t>
      </w:r>
      <w:proofErr w:type="spellEnd"/>
      <w:r>
        <w:t xml:space="preserve"> Macfarlane, Aroha</w:t>
      </w:r>
      <w:r w:rsidR="00E64E91">
        <w:t xml:space="preserve"> Mai Ca</w:t>
      </w:r>
      <w:r w:rsidR="00647794">
        <w:t xml:space="preserve">ncer Support Services, </w:t>
      </w:r>
      <w:proofErr w:type="spellStart"/>
      <w:r w:rsidR="00647794">
        <w:t>Rotorua</w:t>
      </w:r>
      <w:proofErr w:type="spellEnd"/>
    </w:p>
    <w:p w:rsidR="00E64E91" w:rsidRPr="00AA18A6" w:rsidRDefault="00E64E91" w:rsidP="009F5F2E">
      <w:r w:rsidRPr="00AA18A6">
        <w:t xml:space="preserve">Dr Kim </w:t>
      </w:r>
      <w:proofErr w:type="spellStart"/>
      <w:r w:rsidRPr="00AA18A6">
        <w:t>McAnulty</w:t>
      </w:r>
      <w:proofErr w:type="spellEnd"/>
      <w:r w:rsidRPr="00AA18A6">
        <w:t xml:space="preserve">, </w:t>
      </w:r>
      <w:r w:rsidR="00EB5352" w:rsidRPr="002D0608">
        <w:t>r</w:t>
      </w:r>
      <w:r w:rsidRPr="002D0608">
        <w:t>adiologist, Waikato Hospital, Waikato Clinical School, University of Auckland</w:t>
      </w:r>
    </w:p>
    <w:p w:rsidR="006E0543" w:rsidRDefault="006E0543" w:rsidP="009F5F2E">
      <w:r>
        <w:t xml:space="preserve">Dr </w:t>
      </w:r>
      <w:r w:rsidRPr="001E7687">
        <w:t xml:space="preserve">Felicity </w:t>
      </w:r>
      <w:proofErr w:type="spellStart"/>
      <w:r w:rsidRPr="001E7687">
        <w:t>Meikle</w:t>
      </w:r>
      <w:proofErr w:type="spellEnd"/>
      <w:r w:rsidR="00647794">
        <w:t>, t</w:t>
      </w:r>
      <w:r>
        <w:t xml:space="preserve">horacic </w:t>
      </w:r>
      <w:r w:rsidR="002F73E3">
        <w:t>surgical fellow,</w:t>
      </w:r>
      <w:r>
        <w:t xml:space="preserve"> </w:t>
      </w:r>
      <w:r w:rsidRPr="001E7687">
        <w:t>Dunedin</w:t>
      </w:r>
    </w:p>
    <w:p w:rsidR="001E7687" w:rsidRPr="002D0608" w:rsidRDefault="00E64E91" w:rsidP="009F5F2E">
      <w:r w:rsidRPr="004126BA">
        <w:t xml:space="preserve">Dr </w:t>
      </w:r>
      <w:proofErr w:type="spellStart"/>
      <w:r w:rsidRPr="004126BA">
        <w:t>Ziad</w:t>
      </w:r>
      <w:proofErr w:type="spellEnd"/>
      <w:r w:rsidRPr="004126BA">
        <w:t xml:space="preserve"> </w:t>
      </w:r>
      <w:proofErr w:type="spellStart"/>
      <w:r w:rsidRPr="004126BA">
        <w:t>Thotathil</w:t>
      </w:r>
      <w:proofErr w:type="spellEnd"/>
      <w:r w:rsidRPr="004126BA">
        <w:t xml:space="preserve">, </w:t>
      </w:r>
      <w:r w:rsidR="00EB5352" w:rsidRPr="002D0608">
        <w:t>r</w:t>
      </w:r>
      <w:r w:rsidRPr="002D0608">
        <w:t xml:space="preserve">adiation </w:t>
      </w:r>
      <w:r w:rsidR="00EB5352" w:rsidRPr="002D0608">
        <w:t>o</w:t>
      </w:r>
      <w:r w:rsidRPr="002D0608">
        <w:t>ncologist, Regional Cancer Centre, Waikato Hospital</w:t>
      </w:r>
    </w:p>
    <w:p w:rsidR="00E64E91" w:rsidRDefault="00E64E91" w:rsidP="00B850E5">
      <w:pPr>
        <w:pStyle w:val="Heading1"/>
        <w:ind w:firstLine="0"/>
      </w:pPr>
      <w:r>
        <w:br w:type="page"/>
      </w:r>
      <w:bookmarkStart w:id="108" w:name="_Toc290903029"/>
      <w:bookmarkStart w:id="109" w:name="_Toc399763997"/>
      <w:bookmarkStart w:id="110" w:name="_Toc448737440"/>
      <w:r w:rsidRPr="00F02B3C">
        <w:lastRenderedPageBreak/>
        <w:t xml:space="preserve">Appendix </w:t>
      </w:r>
      <w:r w:rsidR="001D4FCA">
        <w:t>2</w:t>
      </w:r>
      <w:proofErr w:type="gramStart"/>
      <w:r w:rsidRPr="00F02B3C">
        <w:t>:</w:t>
      </w:r>
      <w:proofErr w:type="gramEnd"/>
      <w:r w:rsidR="00B850E5">
        <w:br/>
      </w:r>
      <w:r w:rsidRPr="00F02B3C">
        <w:t>Abbreviations used in this documen</w:t>
      </w:r>
      <w:bookmarkEnd w:id="108"/>
      <w:bookmarkEnd w:id="109"/>
      <w:r w:rsidR="006A69AA">
        <w:t>t</w:t>
      </w:r>
      <w:bookmarkEnd w:id="110"/>
    </w:p>
    <w:tbl>
      <w:tblPr>
        <w:tblW w:w="0" w:type="auto"/>
        <w:tblLook w:val="01E0" w:firstRow="1" w:lastRow="1" w:firstColumn="1" w:lastColumn="1" w:noHBand="0" w:noVBand="0"/>
      </w:tblPr>
      <w:tblGrid>
        <w:gridCol w:w="2039"/>
        <w:gridCol w:w="6115"/>
      </w:tblGrid>
      <w:tr w:rsidR="00C87D69" w:rsidRPr="0022285C" w:rsidTr="00B850E5">
        <w:tc>
          <w:tcPr>
            <w:tcW w:w="2039" w:type="dxa"/>
          </w:tcPr>
          <w:p w:rsidR="00C87D69" w:rsidRDefault="00C87D69" w:rsidP="00C87D69">
            <w:pPr>
              <w:spacing w:before="0"/>
            </w:pPr>
            <w:r>
              <w:t>ACN</w:t>
            </w:r>
          </w:p>
        </w:tc>
        <w:tc>
          <w:tcPr>
            <w:tcW w:w="6115" w:type="dxa"/>
          </w:tcPr>
          <w:p w:rsidR="00C87D69" w:rsidRPr="0022285C" w:rsidRDefault="00C87D69" w:rsidP="00C87D69">
            <w:pPr>
              <w:spacing w:before="0"/>
            </w:pPr>
            <w:r>
              <w:t>Australian Cancer Network</w:t>
            </w:r>
          </w:p>
        </w:tc>
      </w:tr>
      <w:tr w:rsidR="00E64E91" w:rsidRPr="0022285C" w:rsidTr="00B850E5">
        <w:tc>
          <w:tcPr>
            <w:tcW w:w="2039" w:type="dxa"/>
          </w:tcPr>
          <w:p w:rsidR="002D5033" w:rsidRPr="0022285C" w:rsidRDefault="002D5033" w:rsidP="00C87D69">
            <w:r w:rsidRPr="00F178EA">
              <w:rPr>
                <w:rFonts w:eastAsia="Calibri" w:cs="Arial"/>
                <w:szCs w:val="22"/>
                <w:lang w:eastAsia="en-NZ"/>
              </w:rPr>
              <w:t>ALK</w:t>
            </w:r>
          </w:p>
        </w:tc>
        <w:tc>
          <w:tcPr>
            <w:tcW w:w="6115" w:type="dxa"/>
          </w:tcPr>
          <w:p w:rsidR="002D5033" w:rsidRPr="0022285C" w:rsidRDefault="002D5033" w:rsidP="00C87D69">
            <w:r>
              <w:rPr>
                <w:rFonts w:eastAsia="Calibri" w:cs="Arial"/>
                <w:szCs w:val="22"/>
                <w:lang w:eastAsia="en-NZ"/>
              </w:rPr>
              <w:t>anaplastic lymphoma kinase</w:t>
            </w:r>
          </w:p>
        </w:tc>
      </w:tr>
      <w:tr w:rsidR="00E64E91" w:rsidRPr="0022285C" w:rsidTr="00B850E5">
        <w:tc>
          <w:tcPr>
            <w:tcW w:w="2039" w:type="dxa"/>
          </w:tcPr>
          <w:p w:rsidR="00DE2F87" w:rsidRPr="0022285C" w:rsidRDefault="00E64E91" w:rsidP="00C87D69">
            <w:r w:rsidRPr="0022285C">
              <w:t>BTS</w:t>
            </w:r>
          </w:p>
        </w:tc>
        <w:tc>
          <w:tcPr>
            <w:tcW w:w="6115" w:type="dxa"/>
          </w:tcPr>
          <w:p w:rsidR="00DE2F87" w:rsidRPr="0022285C" w:rsidRDefault="00E64E91" w:rsidP="00C87D69">
            <w:r w:rsidRPr="0022285C">
              <w:t>British Thoracic Society</w:t>
            </w:r>
          </w:p>
        </w:tc>
      </w:tr>
      <w:tr w:rsidR="00E64E91" w:rsidRPr="0022285C" w:rsidTr="00B850E5">
        <w:tc>
          <w:tcPr>
            <w:tcW w:w="2039" w:type="dxa"/>
          </w:tcPr>
          <w:p w:rsidR="00E64E91" w:rsidRPr="0022285C" w:rsidRDefault="00E64E91" w:rsidP="00C87D69">
            <w:r w:rsidRPr="0022285C">
              <w:t>CT</w:t>
            </w:r>
          </w:p>
        </w:tc>
        <w:tc>
          <w:tcPr>
            <w:tcW w:w="6115" w:type="dxa"/>
          </w:tcPr>
          <w:p w:rsidR="00E64E91" w:rsidRPr="0022285C" w:rsidRDefault="00E64E91" w:rsidP="00C87D69">
            <w:r w:rsidRPr="0022285C">
              <w:t>computed tomography</w:t>
            </w:r>
          </w:p>
        </w:tc>
      </w:tr>
      <w:tr w:rsidR="00E64E91" w:rsidRPr="0022285C" w:rsidTr="00B850E5">
        <w:tc>
          <w:tcPr>
            <w:tcW w:w="2039" w:type="dxa"/>
          </w:tcPr>
          <w:p w:rsidR="00E64E91" w:rsidRPr="0022285C" w:rsidRDefault="00E64E91" w:rsidP="00C87D69">
            <w:r w:rsidRPr="0022285C">
              <w:t>DHB</w:t>
            </w:r>
          </w:p>
        </w:tc>
        <w:tc>
          <w:tcPr>
            <w:tcW w:w="6115" w:type="dxa"/>
          </w:tcPr>
          <w:p w:rsidR="00E64E91" w:rsidRPr="0022285C" w:rsidRDefault="00B65E07" w:rsidP="00C87D69">
            <w:r>
              <w:t>D</w:t>
            </w:r>
            <w:r w:rsidR="00E64E91" w:rsidRPr="0022285C">
              <w:t xml:space="preserve">istrict </w:t>
            </w:r>
            <w:r>
              <w:t>H</w:t>
            </w:r>
            <w:r w:rsidR="00E64E91" w:rsidRPr="0022285C">
              <w:t xml:space="preserve">ealth </w:t>
            </w:r>
            <w:r>
              <w:t>B</w:t>
            </w:r>
            <w:r w:rsidR="00E64E91" w:rsidRPr="0022285C">
              <w:t>oard</w:t>
            </w:r>
          </w:p>
        </w:tc>
      </w:tr>
      <w:tr w:rsidR="00E64E91" w:rsidRPr="0022285C" w:rsidTr="00B850E5">
        <w:tc>
          <w:tcPr>
            <w:tcW w:w="2039" w:type="dxa"/>
          </w:tcPr>
          <w:p w:rsidR="00E64E91" w:rsidRPr="0022285C" w:rsidRDefault="00E64E91" w:rsidP="00C87D69">
            <w:r w:rsidRPr="0022285C">
              <w:t>EBUS</w:t>
            </w:r>
          </w:p>
        </w:tc>
        <w:tc>
          <w:tcPr>
            <w:tcW w:w="6115" w:type="dxa"/>
          </w:tcPr>
          <w:p w:rsidR="00E64E91" w:rsidRPr="0022285C" w:rsidRDefault="00E64E91" w:rsidP="00C87D69">
            <w:proofErr w:type="spellStart"/>
            <w:r w:rsidRPr="0022285C">
              <w:t>endobronchial</w:t>
            </w:r>
            <w:proofErr w:type="spellEnd"/>
            <w:r w:rsidRPr="0022285C">
              <w:t xml:space="preserve"> ultrasound</w:t>
            </w:r>
          </w:p>
        </w:tc>
      </w:tr>
      <w:tr w:rsidR="00C87D69" w:rsidRPr="0022285C" w:rsidTr="00B850E5">
        <w:tc>
          <w:tcPr>
            <w:tcW w:w="2039" w:type="dxa"/>
          </w:tcPr>
          <w:p w:rsidR="00C87D69" w:rsidRPr="0022285C" w:rsidRDefault="00C87D69" w:rsidP="00C87D69">
            <w:r w:rsidRPr="0022285C">
              <w:t>EBUS-TBNA</w:t>
            </w:r>
          </w:p>
        </w:tc>
        <w:tc>
          <w:tcPr>
            <w:tcW w:w="6115" w:type="dxa"/>
          </w:tcPr>
          <w:p w:rsidR="00C87D69" w:rsidRDefault="00C87D69" w:rsidP="00C87D69">
            <w:proofErr w:type="spellStart"/>
            <w:r>
              <w:t>e</w:t>
            </w:r>
            <w:r w:rsidRPr="0022285C">
              <w:t>ndobronchial</w:t>
            </w:r>
            <w:proofErr w:type="spellEnd"/>
            <w:r w:rsidRPr="0022285C">
              <w:t xml:space="preserve"> ultrasound</w:t>
            </w:r>
            <w:r>
              <w:t xml:space="preserve"> − </w:t>
            </w:r>
            <w:proofErr w:type="spellStart"/>
            <w:r w:rsidRPr="0022285C">
              <w:t>transbronchial</w:t>
            </w:r>
            <w:proofErr w:type="spellEnd"/>
            <w:r w:rsidRPr="0022285C">
              <w:t xml:space="preserve"> needle aspiration</w:t>
            </w:r>
          </w:p>
        </w:tc>
      </w:tr>
      <w:tr w:rsidR="00C87D69" w:rsidRPr="0022285C" w:rsidTr="00B850E5">
        <w:tc>
          <w:tcPr>
            <w:tcW w:w="2039" w:type="dxa"/>
          </w:tcPr>
          <w:p w:rsidR="00C87D69" w:rsidRPr="0022285C" w:rsidRDefault="00C87D69" w:rsidP="00C87D69">
            <w:r w:rsidRPr="00F178EA">
              <w:rPr>
                <w:rFonts w:eastAsia="Calibri" w:cs="Arial"/>
                <w:szCs w:val="22"/>
                <w:lang w:eastAsia="en-NZ"/>
              </w:rPr>
              <w:t>EGFR</w:t>
            </w:r>
          </w:p>
        </w:tc>
        <w:tc>
          <w:tcPr>
            <w:tcW w:w="6115" w:type="dxa"/>
          </w:tcPr>
          <w:p w:rsidR="00C87D69" w:rsidRDefault="00C87D69" w:rsidP="00C87D69">
            <w:r>
              <w:rPr>
                <w:rFonts w:eastAsia="Calibri" w:cs="Arial"/>
                <w:szCs w:val="22"/>
                <w:lang w:eastAsia="en-NZ"/>
              </w:rPr>
              <w:t>epidermal growth factor receptor</w:t>
            </w:r>
          </w:p>
        </w:tc>
      </w:tr>
      <w:tr w:rsidR="00E64E91" w:rsidRPr="0022285C" w:rsidTr="00B850E5">
        <w:tc>
          <w:tcPr>
            <w:tcW w:w="2039" w:type="dxa"/>
          </w:tcPr>
          <w:p w:rsidR="00ED460E" w:rsidRPr="0022285C" w:rsidRDefault="00C45606" w:rsidP="00C87D69">
            <w:r>
              <w:rPr>
                <w:rFonts w:eastAsia="Calibri" w:cs="Arial"/>
                <w:szCs w:val="22"/>
                <w:lang w:eastAsia="en-NZ"/>
              </w:rPr>
              <w:t>ECOG</w:t>
            </w:r>
          </w:p>
        </w:tc>
        <w:tc>
          <w:tcPr>
            <w:tcW w:w="6115" w:type="dxa"/>
          </w:tcPr>
          <w:p w:rsidR="00ED460E" w:rsidRPr="0022285C" w:rsidRDefault="00C45606" w:rsidP="00C87D69">
            <w:r>
              <w:rPr>
                <w:rFonts w:eastAsia="Calibri" w:cs="Arial"/>
                <w:szCs w:val="22"/>
                <w:lang w:eastAsia="en-NZ"/>
              </w:rPr>
              <w:t>Eastern Cooperative Oncology Group</w:t>
            </w:r>
          </w:p>
        </w:tc>
      </w:tr>
      <w:tr w:rsidR="00E64E91" w:rsidRPr="0022285C" w:rsidTr="00B850E5">
        <w:tc>
          <w:tcPr>
            <w:tcW w:w="2039" w:type="dxa"/>
          </w:tcPr>
          <w:p w:rsidR="00E64E91" w:rsidRPr="0022285C" w:rsidRDefault="00E64E91" w:rsidP="00C87D69">
            <w:r w:rsidRPr="0022285C">
              <w:t>GP</w:t>
            </w:r>
          </w:p>
        </w:tc>
        <w:tc>
          <w:tcPr>
            <w:tcW w:w="6115" w:type="dxa"/>
          </w:tcPr>
          <w:p w:rsidR="00E64E91" w:rsidRPr="0022285C" w:rsidRDefault="00E64E91" w:rsidP="00C87D69">
            <w:r w:rsidRPr="0022285C">
              <w:t>general practitioner</w:t>
            </w:r>
          </w:p>
        </w:tc>
      </w:tr>
      <w:tr w:rsidR="00E64E91" w:rsidRPr="0022285C" w:rsidTr="00B850E5">
        <w:tc>
          <w:tcPr>
            <w:tcW w:w="2039" w:type="dxa"/>
          </w:tcPr>
          <w:p w:rsidR="002D5033" w:rsidRPr="0022285C" w:rsidRDefault="00E64E91" w:rsidP="00C87D69">
            <w:proofErr w:type="spellStart"/>
            <w:r w:rsidRPr="0022285C">
              <w:t>Gy</w:t>
            </w:r>
            <w:proofErr w:type="spellEnd"/>
          </w:p>
        </w:tc>
        <w:tc>
          <w:tcPr>
            <w:tcW w:w="6115" w:type="dxa"/>
          </w:tcPr>
          <w:p w:rsidR="002D5033" w:rsidRPr="0022285C" w:rsidRDefault="00E64E91" w:rsidP="00C87D69">
            <w:proofErr w:type="spellStart"/>
            <w:r w:rsidRPr="0022285C">
              <w:t>Gray</w:t>
            </w:r>
            <w:proofErr w:type="spellEnd"/>
            <w:r w:rsidRPr="0022285C">
              <w:t xml:space="preserve"> (unit)</w:t>
            </w:r>
            <w:r>
              <w:t>,</w:t>
            </w:r>
            <w:r w:rsidRPr="0022285C">
              <w:t xml:space="preserve"> </w:t>
            </w:r>
            <w:r>
              <w:t xml:space="preserve">an </w:t>
            </w:r>
            <w:r w:rsidRPr="0022285C">
              <w:t>international unit of absorbed radiation dose of ionising radiation</w:t>
            </w:r>
          </w:p>
        </w:tc>
      </w:tr>
      <w:tr w:rsidR="00E64E91" w:rsidRPr="0022285C" w:rsidTr="00B850E5">
        <w:tc>
          <w:tcPr>
            <w:tcW w:w="2039" w:type="dxa"/>
          </w:tcPr>
          <w:p w:rsidR="00ED460E" w:rsidRPr="0022285C" w:rsidRDefault="00ED460E" w:rsidP="00C87D69">
            <w:r>
              <w:t>MDM</w:t>
            </w:r>
          </w:p>
        </w:tc>
        <w:tc>
          <w:tcPr>
            <w:tcW w:w="6115" w:type="dxa"/>
          </w:tcPr>
          <w:p w:rsidR="00ED460E" w:rsidRPr="0022285C" w:rsidRDefault="00ED460E" w:rsidP="00C87D69">
            <w:r>
              <w:t>multidisciplinary meeting</w:t>
            </w:r>
          </w:p>
        </w:tc>
      </w:tr>
      <w:tr w:rsidR="00E64E91" w:rsidRPr="0022285C" w:rsidTr="00B850E5">
        <w:tc>
          <w:tcPr>
            <w:tcW w:w="2039" w:type="dxa"/>
          </w:tcPr>
          <w:p w:rsidR="00E64E91" w:rsidRPr="0022285C" w:rsidRDefault="00E64E91" w:rsidP="00C87D69">
            <w:r w:rsidRPr="0022285C">
              <w:t>NCCN</w:t>
            </w:r>
          </w:p>
        </w:tc>
        <w:tc>
          <w:tcPr>
            <w:tcW w:w="6115" w:type="dxa"/>
          </w:tcPr>
          <w:p w:rsidR="00E64E91" w:rsidRPr="0022285C" w:rsidRDefault="00E64E91" w:rsidP="00C87D69">
            <w:r w:rsidRPr="0022285C">
              <w:t>National Comprehensive Cancer Network</w:t>
            </w:r>
          </w:p>
        </w:tc>
      </w:tr>
      <w:tr w:rsidR="00E64E91" w:rsidRPr="0022285C" w:rsidTr="00B850E5">
        <w:tc>
          <w:tcPr>
            <w:tcW w:w="2039" w:type="dxa"/>
          </w:tcPr>
          <w:p w:rsidR="00E64E91" w:rsidRPr="0022285C" w:rsidRDefault="00E64E91" w:rsidP="00C87D69">
            <w:r w:rsidRPr="0022285C">
              <w:t xml:space="preserve">NHS </w:t>
            </w:r>
          </w:p>
        </w:tc>
        <w:tc>
          <w:tcPr>
            <w:tcW w:w="6115" w:type="dxa"/>
          </w:tcPr>
          <w:p w:rsidR="00E64E91" w:rsidRPr="0022285C" w:rsidRDefault="00E64E91" w:rsidP="00C87D69">
            <w:r w:rsidRPr="0022285C">
              <w:t>National Health Service</w:t>
            </w:r>
          </w:p>
        </w:tc>
      </w:tr>
      <w:tr w:rsidR="00E64E91" w:rsidRPr="0022285C" w:rsidTr="00B850E5">
        <w:tc>
          <w:tcPr>
            <w:tcW w:w="2039" w:type="dxa"/>
          </w:tcPr>
          <w:p w:rsidR="00E64E91" w:rsidRPr="0022285C" w:rsidRDefault="00E64E91" w:rsidP="00C87D69">
            <w:r w:rsidRPr="0022285C">
              <w:t>NICE</w:t>
            </w:r>
          </w:p>
        </w:tc>
        <w:tc>
          <w:tcPr>
            <w:tcW w:w="6115" w:type="dxa"/>
          </w:tcPr>
          <w:p w:rsidR="00E64E91" w:rsidRPr="0022285C" w:rsidRDefault="00E64E91" w:rsidP="00C87D69">
            <w:r w:rsidRPr="0022285C">
              <w:t>National Institute of Clinical Excellence</w:t>
            </w:r>
          </w:p>
        </w:tc>
      </w:tr>
      <w:tr w:rsidR="00C87D69" w:rsidRPr="0022285C" w:rsidTr="00B850E5">
        <w:tc>
          <w:tcPr>
            <w:tcW w:w="2039" w:type="dxa"/>
          </w:tcPr>
          <w:p w:rsidR="00C87D69" w:rsidRPr="0022285C" w:rsidRDefault="00C87D69" w:rsidP="00C87D69">
            <w:r w:rsidRPr="0022285C">
              <w:t>NLCWG</w:t>
            </w:r>
          </w:p>
        </w:tc>
        <w:tc>
          <w:tcPr>
            <w:tcW w:w="6115" w:type="dxa"/>
          </w:tcPr>
          <w:p w:rsidR="00C87D69" w:rsidRPr="0022285C" w:rsidRDefault="00C87D69" w:rsidP="00C87D69">
            <w:r w:rsidRPr="0022285C">
              <w:t>National Lung Cancer Work</w:t>
            </w:r>
            <w:r>
              <w:t>ing</w:t>
            </w:r>
            <w:r w:rsidRPr="0022285C">
              <w:t xml:space="preserve"> Group</w:t>
            </w:r>
          </w:p>
        </w:tc>
      </w:tr>
      <w:tr w:rsidR="00E64E91" w:rsidRPr="0022285C" w:rsidTr="00B850E5">
        <w:tc>
          <w:tcPr>
            <w:tcW w:w="2039" w:type="dxa"/>
          </w:tcPr>
          <w:p w:rsidR="002D5033" w:rsidRPr="0022285C" w:rsidRDefault="002D5033" w:rsidP="00C87D69">
            <w:r w:rsidRPr="00F178EA">
              <w:rPr>
                <w:rFonts w:eastAsia="Calibri" w:cs="Arial"/>
                <w:bCs/>
                <w:szCs w:val="22"/>
                <w:lang w:eastAsia="en-NZ"/>
              </w:rPr>
              <w:t>NSCLC</w:t>
            </w:r>
          </w:p>
        </w:tc>
        <w:tc>
          <w:tcPr>
            <w:tcW w:w="6115" w:type="dxa"/>
          </w:tcPr>
          <w:p w:rsidR="002D5033" w:rsidRPr="0022285C" w:rsidRDefault="002D5033" w:rsidP="00C87D69">
            <w:r>
              <w:rPr>
                <w:rFonts w:eastAsia="Calibri" w:cs="Arial"/>
                <w:bCs/>
                <w:szCs w:val="22"/>
                <w:lang w:eastAsia="en-NZ"/>
              </w:rPr>
              <w:t>non-small cell lung cancer</w:t>
            </w:r>
          </w:p>
        </w:tc>
      </w:tr>
      <w:tr w:rsidR="00E64E91" w:rsidRPr="0022285C" w:rsidTr="00B850E5">
        <w:tc>
          <w:tcPr>
            <w:tcW w:w="2039" w:type="dxa"/>
          </w:tcPr>
          <w:p w:rsidR="00E64E91" w:rsidRPr="0022285C" w:rsidRDefault="00E64E91" w:rsidP="00C87D69">
            <w:r w:rsidRPr="0022285C">
              <w:t>non-US TBNA</w:t>
            </w:r>
          </w:p>
        </w:tc>
        <w:tc>
          <w:tcPr>
            <w:tcW w:w="6115" w:type="dxa"/>
          </w:tcPr>
          <w:p w:rsidR="00E64E91" w:rsidRPr="0022285C" w:rsidRDefault="00E64E91" w:rsidP="00C87D69">
            <w:r w:rsidRPr="0022285C">
              <w:t xml:space="preserve">non-ultrasound guided </w:t>
            </w:r>
            <w:proofErr w:type="spellStart"/>
            <w:r w:rsidRPr="0022285C">
              <w:t>transbronchial</w:t>
            </w:r>
            <w:proofErr w:type="spellEnd"/>
            <w:r w:rsidRPr="0022285C">
              <w:t xml:space="preserve"> needle aspiration</w:t>
            </w:r>
          </w:p>
        </w:tc>
      </w:tr>
      <w:tr w:rsidR="00E64E91" w:rsidRPr="0022285C" w:rsidTr="00B850E5">
        <w:tc>
          <w:tcPr>
            <w:tcW w:w="2039" w:type="dxa"/>
          </w:tcPr>
          <w:p w:rsidR="00E64E91" w:rsidRPr="0022285C" w:rsidRDefault="00E64E91" w:rsidP="00C87D69">
            <w:r w:rsidRPr="0022285C">
              <w:t>PET-CT</w:t>
            </w:r>
          </w:p>
        </w:tc>
        <w:tc>
          <w:tcPr>
            <w:tcW w:w="6115" w:type="dxa"/>
          </w:tcPr>
          <w:p w:rsidR="00E64E91" w:rsidRPr="0022285C" w:rsidRDefault="00E64E91" w:rsidP="00C87D69">
            <w:r w:rsidRPr="0022285C">
              <w:t>positron emission tomography and computed tomography</w:t>
            </w:r>
          </w:p>
        </w:tc>
      </w:tr>
    </w:tbl>
    <w:p w:rsidR="002D0608" w:rsidRDefault="00E64E91" w:rsidP="00B850E5">
      <w:pPr>
        <w:pStyle w:val="Heading1"/>
      </w:pPr>
      <w:r>
        <w:br w:type="page"/>
      </w:r>
      <w:bookmarkStart w:id="111" w:name="_Toc290903030"/>
      <w:bookmarkStart w:id="112" w:name="_Toc399763998"/>
      <w:bookmarkStart w:id="113" w:name="_Toc448737441"/>
      <w:r w:rsidRPr="007249C1">
        <w:lastRenderedPageBreak/>
        <w:t>References</w:t>
      </w:r>
      <w:bookmarkEnd w:id="111"/>
      <w:bookmarkEnd w:id="112"/>
      <w:bookmarkEnd w:id="113"/>
    </w:p>
    <w:p w:rsidR="002D0608" w:rsidRPr="002D0608" w:rsidRDefault="00465A03" w:rsidP="00C87D69">
      <w:pPr>
        <w:pStyle w:val="References"/>
      </w:pPr>
      <w:proofErr w:type="gramStart"/>
      <w:r w:rsidRPr="002D0608">
        <w:t>AGDHA</w:t>
      </w:r>
      <w:r w:rsidR="00E64E91" w:rsidRPr="002D0608">
        <w:t xml:space="preserve"> and </w:t>
      </w:r>
      <w:proofErr w:type="spellStart"/>
      <w:r w:rsidR="00E64E91" w:rsidRPr="002D0608">
        <w:t>CHeRP</w:t>
      </w:r>
      <w:proofErr w:type="spellEnd"/>
      <w:r w:rsidR="00E64E91" w:rsidRPr="002D0608">
        <w:t>.</w:t>
      </w:r>
      <w:proofErr w:type="gramEnd"/>
      <w:r w:rsidR="00E64E91" w:rsidRPr="002D0608">
        <w:t xml:space="preserve"> 2006. </w:t>
      </w:r>
      <w:r w:rsidR="00E64E91" w:rsidRPr="002D0608">
        <w:rPr>
          <w:i/>
        </w:rPr>
        <w:t>Needs Assessment Tool: Progressive disease – Cancer (NAT</w:t>
      </w:r>
      <w:proofErr w:type="gramStart"/>
      <w:r w:rsidR="00E64E91" w:rsidRPr="002D0608">
        <w:rPr>
          <w:i/>
        </w:rPr>
        <w:t>:PD</w:t>
      </w:r>
      <w:proofErr w:type="gramEnd"/>
      <w:r w:rsidR="00E64E91" w:rsidRPr="002D0608">
        <w:rPr>
          <w:i/>
        </w:rPr>
        <w:t>-C) user guide</w:t>
      </w:r>
      <w:r w:rsidR="00E64E91" w:rsidRPr="002D0608">
        <w:t>.</w:t>
      </w:r>
      <w:r w:rsidR="00E64E91" w:rsidRPr="002D0608">
        <w:rPr>
          <w:i/>
        </w:rPr>
        <w:t xml:space="preserve"> </w:t>
      </w:r>
      <w:r w:rsidRPr="002D0608">
        <w:t xml:space="preserve">Canberra: Australian Government Department of Health and Ageing and Centre for Health Research and Psycho-oncology. </w:t>
      </w:r>
      <w:r w:rsidR="007E0B22" w:rsidRPr="002D0608">
        <w:t xml:space="preserve">URL: </w:t>
      </w:r>
      <w:hyperlink r:id="rId24" w:history="1">
        <w:r w:rsidR="00181215" w:rsidRPr="00C87D69">
          <w:rPr>
            <w:rStyle w:val="Hyperlink"/>
          </w:rPr>
          <w:t>www.caresearch.com.au/Caresearch/Portals/0/Documents/WhatisPalliativeCare/NationalProgram/NeedsAssessmentTool_NAT-PD.pdf</w:t>
        </w:r>
      </w:hyperlink>
    </w:p>
    <w:p w:rsidR="002D0608" w:rsidRDefault="00181215" w:rsidP="00C87D69">
      <w:pPr>
        <w:pStyle w:val="References"/>
      </w:pPr>
      <w:proofErr w:type="gramStart"/>
      <w:r>
        <w:t xml:space="preserve">AGNHMRC </w:t>
      </w:r>
      <w:r w:rsidR="00E64E91" w:rsidRPr="00C357D2">
        <w:t xml:space="preserve">and </w:t>
      </w:r>
      <w:r>
        <w:t>ACN</w:t>
      </w:r>
      <w:r w:rsidR="00E64E91" w:rsidRPr="00C357D2">
        <w:t>.</w:t>
      </w:r>
      <w:proofErr w:type="gramEnd"/>
      <w:r w:rsidR="00E64E91" w:rsidRPr="00C357D2">
        <w:t xml:space="preserve"> 2004. </w:t>
      </w:r>
      <w:r w:rsidR="00E64E91" w:rsidRPr="00BC1505">
        <w:rPr>
          <w:i/>
        </w:rPr>
        <w:t xml:space="preserve">Clinical Practice Guidelines </w:t>
      </w:r>
      <w:r w:rsidR="00E64E91">
        <w:rPr>
          <w:i/>
        </w:rPr>
        <w:t>f</w:t>
      </w:r>
      <w:r w:rsidR="00E64E91" w:rsidRPr="00BC1505">
        <w:rPr>
          <w:i/>
        </w:rPr>
        <w:t xml:space="preserve">or </w:t>
      </w:r>
      <w:r w:rsidR="00E64E91">
        <w:rPr>
          <w:i/>
        </w:rPr>
        <w:t>t</w:t>
      </w:r>
      <w:r w:rsidR="00E64E91" w:rsidRPr="00BC1505">
        <w:rPr>
          <w:i/>
        </w:rPr>
        <w:t>he Prevention, Diagnosis and Management of Lung Cance</w:t>
      </w:r>
      <w:r w:rsidR="00E64E91" w:rsidRPr="00C357D2">
        <w:t xml:space="preserve">r. </w:t>
      </w:r>
      <w:proofErr w:type="gramStart"/>
      <w:r>
        <w:t xml:space="preserve">Canberra; </w:t>
      </w:r>
      <w:r w:rsidRPr="00C357D2">
        <w:t>Australian Government National Health and Medical Research Council and Australian Cancer Network.</w:t>
      </w:r>
      <w:proofErr w:type="gramEnd"/>
      <w:r w:rsidRPr="00C357D2">
        <w:t xml:space="preserve"> </w:t>
      </w:r>
      <w:r w:rsidR="00E64E91">
        <w:t xml:space="preserve">URL: </w:t>
      </w:r>
      <w:hyperlink r:id="rId25" w:history="1">
        <w:r w:rsidRPr="00181215">
          <w:rPr>
            <w:rStyle w:val="Hyperlink"/>
          </w:rPr>
          <w:t>www.nhmrc.gov.au/_files_nhmrc/file/publications/synopses/cp97.pdf</w:t>
        </w:r>
      </w:hyperlink>
    </w:p>
    <w:p w:rsidR="00E64E91" w:rsidRPr="00C357D2" w:rsidRDefault="00181215" w:rsidP="00C87D69">
      <w:pPr>
        <w:pStyle w:val="References"/>
      </w:pPr>
      <w:proofErr w:type="gramStart"/>
      <w:r>
        <w:t xml:space="preserve">BTS </w:t>
      </w:r>
      <w:r w:rsidR="00230E05" w:rsidRPr="00AE7D71">
        <w:t>and the Society for Cardiothoracic Surgery in Great Britain and Ireland</w:t>
      </w:r>
      <w:r w:rsidR="00230E05" w:rsidRPr="00AE7D71">
        <w:rPr>
          <w:i/>
        </w:rPr>
        <w:t>.</w:t>
      </w:r>
      <w:proofErr w:type="gramEnd"/>
      <w:r w:rsidR="00230E05" w:rsidRPr="000759DB">
        <w:t xml:space="preserve"> 2010. </w:t>
      </w:r>
      <w:r w:rsidR="00230E05" w:rsidRPr="00AE7D71">
        <w:rPr>
          <w:i/>
        </w:rPr>
        <w:t xml:space="preserve">Guidelines on the </w:t>
      </w:r>
      <w:r w:rsidR="00230E05">
        <w:rPr>
          <w:i/>
        </w:rPr>
        <w:t>R</w:t>
      </w:r>
      <w:r w:rsidR="00230E05" w:rsidRPr="00AE7D71">
        <w:rPr>
          <w:i/>
        </w:rPr>
        <w:t xml:space="preserve">adical </w:t>
      </w:r>
      <w:r w:rsidR="00230E05">
        <w:rPr>
          <w:i/>
        </w:rPr>
        <w:t>M</w:t>
      </w:r>
      <w:r w:rsidR="00230E05" w:rsidRPr="00AE7D71">
        <w:rPr>
          <w:i/>
        </w:rPr>
        <w:t xml:space="preserve">anagement of </w:t>
      </w:r>
      <w:r w:rsidR="00230E05">
        <w:rPr>
          <w:i/>
        </w:rPr>
        <w:t>P</w:t>
      </w:r>
      <w:r w:rsidR="00230E05" w:rsidRPr="00AE7D71">
        <w:rPr>
          <w:i/>
        </w:rPr>
        <w:t xml:space="preserve">atients with </w:t>
      </w:r>
      <w:r w:rsidR="00230E05">
        <w:rPr>
          <w:i/>
        </w:rPr>
        <w:t>L</w:t>
      </w:r>
      <w:r w:rsidR="00230E05" w:rsidRPr="00AE7D71">
        <w:rPr>
          <w:i/>
        </w:rPr>
        <w:t xml:space="preserve">ung </w:t>
      </w:r>
      <w:r w:rsidR="00230E05">
        <w:rPr>
          <w:i/>
        </w:rPr>
        <w:t>C</w:t>
      </w:r>
      <w:r w:rsidR="00230E05" w:rsidRPr="00AE7D71">
        <w:rPr>
          <w:i/>
        </w:rPr>
        <w:t>ancer</w:t>
      </w:r>
      <w:r w:rsidR="00230E05" w:rsidRPr="00FB60E9">
        <w:t>.</w:t>
      </w:r>
      <w:r w:rsidR="00230E05" w:rsidRPr="000759DB">
        <w:t xml:space="preserve"> </w:t>
      </w:r>
      <w:r>
        <w:t xml:space="preserve">London: BTS </w:t>
      </w:r>
      <w:r w:rsidRPr="00AE7D71">
        <w:t>and the Society for Cardiothoracic Surgery in Great Britain and Ireland</w:t>
      </w:r>
      <w:r>
        <w:t xml:space="preserve">. </w:t>
      </w:r>
      <w:r w:rsidR="00230E05">
        <w:t xml:space="preserve">URL: </w:t>
      </w:r>
      <w:hyperlink r:id="rId26" w:history="1">
        <w:r w:rsidRPr="006E0543">
          <w:rPr>
            <w:rStyle w:val="Hyperlink"/>
          </w:rPr>
          <w:t>www.brit-thoracic.org.uk/document-library/clinical-information/lung-cancer/lung-cancer-guidelines/btsscts-guidelines-on-the-radical-management-of-patients-with-lung-cancer/</w:t>
        </w:r>
      </w:hyperlink>
    </w:p>
    <w:p w:rsidR="002D0608" w:rsidRDefault="00E64E91" w:rsidP="00C87D69">
      <w:pPr>
        <w:pStyle w:val="References"/>
      </w:pPr>
      <w:proofErr w:type="gramStart"/>
      <w:r w:rsidRPr="00C357D2">
        <w:t>Cancer Care Ontario.</w:t>
      </w:r>
      <w:proofErr w:type="gramEnd"/>
      <w:r w:rsidRPr="00C357D2">
        <w:t xml:space="preserve"> 2004. </w:t>
      </w:r>
      <w:r w:rsidRPr="00BC1505">
        <w:rPr>
          <w:i/>
        </w:rPr>
        <w:t xml:space="preserve">Clinical Focus on Lung </w:t>
      </w:r>
      <w:r>
        <w:rPr>
          <w:i/>
        </w:rPr>
        <w:t>C</w:t>
      </w:r>
      <w:r w:rsidRPr="00BC1505">
        <w:rPr>
          <w:i/>
        </w:rPr>
        <w:t>ancer</w:t>
      </w:r>
      <w:r>
        <w:rPr>
          <w:i/>
        </w:rPr>
        <w:t>:</w:t>
      </w:r>
      <w:r w:rsidRPr="00BC1505">
        <w:rPr>
          <w:i/>
        </w:rPr>
        <w:t xml:space="preserve"> A snapsho</w:t>
      </w:r>
      <w:r w:rsidR="00181215">
        <w:rPr>
          <w:i/>
        </w:rPr>
        <w:t>t</w:t>
      </w:r>
      <w:r w:rsidRPr="00BC1505">
        <w:rPr>
          <w:i/>
        </w:rPr>
        <w:t xml:space="preserve"> of lung cancer for Ontario health care providers and managers</w:t>
      </w:r>
      <w:r w:rsidRPr="00C357D2">
        <w:t xml:space="preserve">. </w:t>
      </w:r>
      <w:r w:rsidR="00181215">
        <w:t xml:space="preserve">Toronto: Cancer Care Ontario. </w:t>
      </w:r>
      <w:r>
        <w:t xml:space="preserve">URL: </w:t>
      </w:r>
      <w:hyperlink r:id="rId27" w:history="1">
        <w:r w:rsidR="00181215" w:rsidRPr="00181215">
          <w:rPr>
            <w:rStyle w:val="Hyperlink"/>
          </w:rPr>
          <w:t>www.cancercare.on.ca/common/pages/UserFile.aspx?fileId=13580</w:t>
        </w:r>
      </w:hyperlink>
    </w:p>
    <w:p w:rsidR="00E64E91" w:rsidRPr="00E6541D" w:rsidRDefault="00230E05" w:rsidP="00C87D69">
      <w:pPr>
        <w:pStyle w:val="References"/>
        <w:rPr>
          <w:color w:val="000000"/>
          <w:szCs w:val="22"/>
        </w:rPr>
      </w:pPr>
      <w:proofErr w:type="gramStart"/>
      <w:r w:rsidRPr="00B93482">
        <w:rPr>
          <w:i/>
          <w:szCs w:val="22"/>
        </w:rPr>
        <w:t>European Respiratory Society and European Society of Thoracic Surgeons.</w:t>
      </w:r>
      <w:proofErr w:type="gramEnd"/>
      <w:r w:rsidRPr="00B93482">
        <w:rPr>
          <w:i/>
          <w:szCs w:val="22"/>
        </w:rPr>
        <w:t xml:space="preserve"> 2009. </w:t>
      </w:r>
      <w:r w:rsidRPr="00B93482">
        <w:rPr>
          <w:szCs w:val="22"/>
        </w:rPr>
        <w:t xml:space="preserve">Clinical Guidelines for Evaluating Fitness for Radical Treatment (Surgery and </w:t>
      </w:r>
      <w:proofErr w:type="spellStart"/>
      <w:r w:rsidRPr="00B93482">
        <w:rPr>
          <w:szCs w:val="22"/>
        </w:rPr>
        <w:t>Chemoradiotherapy</w:t>
      </w:r>
      <w:proofErr w:type="spellEnd"/>
      <w:r w:rsidRPr="00B93482">
        <w:rPr>
          <w:szCs w:val="22"/>
        </w:rPr>
        <w:t>) in Patients with Lung Cancer</w:t>
      </w:r>
      <w:r w:rsidRPr="00B93482">
        <w:rPr>
          <w:i/>
          <w:szCs w:val="22"/>
        </w:rPr>
        <w:t xml:space="preserve">. </w:t>
      </w:r>
      <w:proofErr w:type="spellStart"/>
      <w:r w:rsidR="00181215">
        <w:rPr>
          <w:i/>
          <w:szCs w:val="22"/>
        </w:rPr>
        <w:t>Ancona</w:t>
      </w:r>
      <w:proofErr w:type="spellEnd"/>
      <w:r w:rsidR="00181215">
        <w:rPr>
          <w:i/>
          <w:szCs w:val="22"/>
        </w:rPr>
        <w:t xml:space="preserve">: </w:t>
      </w:r>
      <w:r w:rsidR="00181215" w:rsidRPr="00B93482">
        <w:rPr>
          <w:i/>
          <w:szCs w:val="22"/>
        </w:rPr>
        <w:t>European Respiratory Society and European Society of Thoracic Surgeons</w:t>
      </w:r>
      <w:r w:rsidR="00181215">
        <w:rPr>
          <w:i/>
          <w:szCs w:val="22"/>
        </w:rPr>
        <w:t>.</w:t>
      </w:r>
      <w:r w:rsidR="00181215" w:rsidRPr="00B93482">
        <w:rPr>
          <w:i/>
          <w:szCs w:val="22"/>
        </w:rPr>
        <w:t xml:space="preserve"> </w:t>
      </w:r>
      <w:r w:rsidRPr="00B93482">
        <w:rPr>
          <w:i/>
          <w:szCs w:val="22"/>
        </w:rPr>
        <w:t xml:space="preserve">URL: </w:t>
      </w:r>
      <w:hyperlink r:id="rId28" w:history="1">
        <w:r w:rsidR="00181215" w:rsidRPr="00181215">
          <w:rPr>
            <w:rStyle w:val="Hyperlink"/>
            <w:szCs w:val="22"/>
          </w:rPr>
          <w:t>www.researchgate.net/publication/26248863_The_European_Respiratory_Society_and_European_Society_of_Thoracic_Surgeons_clinical_guidelines_for_evaluating_fitness_for_radical_treatment_(surgery_and_chemoradiotherapy)_in_patients_with_lung_cancer</w:t>
        </w:r>
      </w:hyperlink>
    </w:p>
    <w:p w:rsidR="00E64E91" w:rsidRPr="002D0608" w:rsidRDefault="00F76963" w:rsidP="00C87D69">
      <w:pPr>
        <w:pStyle w:val="References"/>
        <w:rPr>
          <w:color w:val="004080"/>
          <w:szCs w:val="22"/>
        </w:rPr>
      </w:pPr>
      <w:hyperlink w:history="1"/>
      <w:proofErr w:type="spellStart"/>
      <w:r w:rsidR="00230E05" w:rsidRPr="002D0608">
        <w:rPr>
          <w:szCs w:val="22"/>
        </w:rPr>
        <w:t>Goldstraw</w:t>
      </w:r>
      <w:proofErr w:type="spellEnd"/>
      <w:r w:rsidR="00230E05" w:rsidRPr="002D0608">
        <w:rPr>
          <w:szCs w:val="22"/>
        </w:rPr>
        <w:t xml:space="preserve"> P, Crowley JJ, </w:t>
      </w:r>
      <w:proofErr w:type="spellStart"/>
      <w:r w:rsidR="00230E05" w:rsidRPr="002D0608">
        <w:rPr>
          <w:szCs w:val="22"/>
        </w:rPr>
        <w:t>Chansky</w:t>
      </w:r>
      <w:proofErr w:type="spellEnd"/>
      <w:r w:rsidR="00230E05" w:rsidRPr="002D0608">
        <w:rPr>
          <w:szCs w:val="22"/>
        </w:rPr>
        <w:t xml:space="preserve"> K, et al (</w:t>
      </w:r>
      <w:proofErr w:type="spellStart"/>
      <w:proofErr w:type="gramStart"/>
      <w:r w:rsidR="00230E05" w:rsidRPr="002D0608">
        <w:rPr>
          <w:szCs w:val="22"/>
        </w:rPr>
        <w:t>eds</w:t>
      </w:r>
      <w:proofErr w:type="spellEnd"/>
      <w:proofErr w:type="gramEnd"/>
      <w:r w:rsidR="00230E05" w:rsidRPr="002D0608">
        <w:rPr>
          <w:szCs w:val="22"/>
        </w:rPr>
        <w:t xml:space="preserve">). 2009. </w:t>
      </w:r>
      <w:r w:rsidR="00230E05" w:rsidRPr="002D0608">
        <w:rPr>
          <w:i/>
          <w:szCs w:val="22"/>
        </w:rPr>
        <w:t>Staging Manual in Thoracic Oncology</w:t>
      </w:r>
      <w:r w:rsidR="00230E05" w:rsidRPr="002D0608">
        <w:rPr>
          <w:szCs w:val="22"/>
        </w:rPr>
        <w:t>.</w:t>
      </w:r>
      <w:r w:rsidR="00181215" w:rsidRPr="002D0608">
        <w:rPr>
          <w:szCs w:val="22"/>
        </w:rPr>
        <w:t xml:space="preserve"> Aurora:</w:t>
      </w:r>
      <w:r w:rsidR="00230E05" w:rsidRPr="002D0608">
        <w:rPr>
          <w:szCs w:val="22"/>
        </w:rPr>
        <w:t xml:space="preserve"> International Association for the Study of Lung Cancer</w:t>
      </w:r>
      <w:r w:rsidR="00230E05" w:rsidRPr="002D0608">
        <w:rPr>
          <w:color w:val="004080"/>
          <w:szCs w:val="22"/>
        </w:rPr>
        <w:t xml:space="preserve">. </w:t>
      </w:r>
      <w:r w:rsidR="00230E05" w:rsidRPr="002D0608">
        <w:rPr>
          <w:szCs w:val="22"/>
        </w:rPr>
        <w:t>URL</w:t>
      </w:r>
      <w:r w:rsidR="00230E05" w:rsidRPr="002D0608">
        <w:rPr>
          <w:color w:val="004080"/>
          <w:szCs w:val="22"/>
        </w:rPr>
        <w:t xml:space="preserve">: </w:t>
      </w:r>
      <w:hyperlink r:id="rId29" w:history="1">
        <w:r w:rsidR="00230E05" w:rsidRPr="002D0608">
          <w:rPr>
            <w:rStyle w:val="Hyperlink"/>
            <w:szCs w:val="22"/>
          </w:rPr>
          <w:t>https://umfiasi2015.files.wordpress.com/2013/03/pulmon-iaslc-manual.pdf</w:t>
        </w:r>
      </w:hyperlink>
    </w:p>
    <w:p w:rsidR="00181215" w:rsidRPr="00E6541D" w:rsidRDefault="00181215" w:rsidP="00C87D69">
      <w:pPr>
        <w:pStyle w:val="References"/>
        <w:rPr>
          <w:szCs w:val="22"/>
        </w:rPr>
      </w:pPr>
      <w:proofErr w:type="gramStart"/>
      <w:r w:rsidRPr="000E5BC3">
        <w:rPr>
          <w:color w:val="002639"/>
          <w:szCs w:val="22"/>
          <w:lang w:val="en"/>
        </w:rPr>
        <w:t>Ministry of Health.</w:t>
      </w:r>
      <w:proofErr w:type="gramEnd"/>
      <w:r w:rsidRPr="000E5BC3">
        <w:rPr>
          <w:color w:val="002639"/>
          <w:szCs w:val="22"/>
          <w:lang w:val="en"/>
        </w:rPr>
        <w:t xml:space="preserve"> 2012. </w:t>
      </w:r>
      <w:r>
        <w:rPr>
          <w:i/>
          <w:color w:val="002639"/>
          <w:szCs w:val="22"/>
          <w:lang w:val="en"/>
        </w:rPr>
        <w:t>Guidance for Implementing High-Quality M</w:t>
      </w:r>
      <w:r w:rsidRPr="000E5BC3">
        <w:rPr>
          <w:i/>
          <w:color w:val="002639"/>
          <w:szCs w:val="22"/>
          <w:lang w:val="en"/>
        </w:rPr>
        <w:t>ultidi</w:t>
      </w:r>
      <w:r>
        <w:rPr>
          <w:i/>
          <w:color w:val="002639"/>
          <w:szCs w:val="22"/>
          <w:lang w:val="en"/>
        </w:rPr>
        <w:t>sciplinary M</w:t>
      </w:r>
      <w:r w:rsidRPr="000E5BC3">
        <w:rPr>
          <w:i/>
          <w:color w:val="002639"/>
          <w:szCs w:val="22"/>
          <w:lang w:val="en"/>
        </w:rPr>
        <w:t>eetings</w:t>
      </w:r>
      <w:r>
        <w:rPr>
          <w:szCs w:val="22"/>
        </w:rPr>
        <w:t xml:space="preserve">. Wellington: Ministry of Health. URL: </w:t>
      </w:r>
      <w:hyperlink r:id="rId30" w:history="1">
        <w:r w:rsidRPr="00181215">
          <w:rPr>
            <w:rStyle w:val="Hyperlink"/>
          </w:rPr>
          <w:t>www.health.govt.nz/publication/guidance-implementing-high-quality-multidisciplinary-meetings</w:t>
        </w:r>
      </w:hyperlink>
    </w:p>
    <w:p w:rsidR="005237D2" w:rsidRDefault="00F9316E" w:rsidP="00C87D69">
      <w:pPr>
        <w:pStyle w:val="References"/>
        <w:rPr>
          <w:szCs w:val="20"/>
        </w:rPr>
      </w:pPr>
      <w:proofErr w:type="gramStart"/>
      <w:r>
        <w:rPr>
          <w:szCs w:val="20"/>
        </w:rPr>
        <w:t>Ministry of Health.</w:t>
      </w:r>
      <w:proofErr w:type="gramEnd"/>
      <w:r>
        <w:rPr>
          <w:szCs w:val="20"/>
        </w:rPr>
        <w:t xml:space="preserve"> 2014a. </w:t>
      </w:r>
      <w:proofErr w:type="gramStart"/>
      <w:r w:rsidRPr="00EA0D98">
        <w:rPr>
          <w:i/>
          <w:szCs w:val="20"/>
        </w:rPr>
        <w:t>The</w:t>
      </w:r>
      <w:proofErr w:type="gramEnd"/>
      <w:r w:rsidRPr="00EA0D98">
        <w:rPr>
          <w:i/>
          <w:szCs w:val="20"/>
        </w:rPr>
        <w:t xml:space="preserve"> Guide to He Korowai </w:t>
      </w:r>
      <w:proofErr w:type="spellStart"/>
      <w:r w:rsidRPr="00EA0D98">
        <w:rPr>
          <w:i/>
          <w:szCs w:val="20"/>
        </w:rPr>
        <w:t>Oranga</w:t>
      </w:r>
      <w:proofErr w:type="spellEnd"/>
      <w:r w:rsidRPr="00EA0D98">
        <w:rPr>
          <w:i/>
          <w:szCs w:val="20"/>
        </w:rPr>
        <w:t>: Māori Health Strategy</w:t>
      </w:r>
      <w:r w:rsidRPr="00BE77DA">
        <w:rPr>
          <w:szCs w:val="20"/>
        </w:rPr>
        <w:t>.</w:t>
      </w:r>
      <w:r w:rsidRPr="00EA0D98">
        <w:rPr>
          <w:szCs w:val="20"/>
        </w:rPr>
        <w:t xml:space="preserve"> </w:t>
      </w:r>
      <w:r>
        <w:rPr>
          <w:szCs w:val="20"/>
        </w:rPr>
        <w:t xml:space="preserve">Wellington: Ministry of Health. URL: </w:t>
      </w:r>
    </w:p>
    <w:p w:rsidR="00F9316E" w:rsidRPr="005237D2" w:rsidRDefault="00283D47" w:rsidP="005237D2">
      <w:pPr>
        <w:pStyle w:val="References"/>
        <w:spacing w:before="0"/>
        <w:rPr>
          <w:rStyle w:val="Hyperlink"/>
        </w:rPr>
      </w:pPr>
      <w:r w:rsidRPr="005237D2">
        <w:rPr>
          <w:rStyle w:val="Hyperlink"/>
        </w:rPr>
        <w:t>www.health.govt.nz/publication/guide-he-korowai-oranga-maori-health-strategy</w:t>
      </w:r>
    </w:p>
    <w:p w:rsidR="00E64E91" w:rsidRPr="00C357D2" w:rsidRDefault="00230E05" w:rsidP="00C87D69">
      <w:pPr>
        <w:pStyle w:val="References"/>
        <w:rPr>
          <w:szCs w:val="22"/>
        </w:rPr>
      </w:pPr>
      <w:proofErr w:type="gramStart"/>
      <w:r>
        <w:rPr>
          <w:szCs w:val="22"/>
        </w:rPr>
        <w:t>Ministry of Health.</w:t>
      </w:r>
      <w:proofErr w:type="gramEnd"/>
      <w:r>
        <w:rPr>
          <w:szCs w:val="22"/>
        </w:rPr>
        <w:t xml:space="preserve"> </w:t>
      </w:r>
      <w:proofErr w:type="gramStart"/>
      <w:r>
        <w:rPr>
          <w:szCs w:val="22"/>
        </w:rPr>
        <w:t>2014</w:t>
      </w:r>
      <w:r w:rsidR="00F9316E">
        <w:rPr>
          <w:szCs w:val="22"/>
        </w:rPr>
        <w:t>b</w:t>
      </w:r>
      <w:r w:rsidR="00E64E91" w:rsidRPr="00CB7657">
        <w:rPr>
          <w:szCs w:val="22"/>
        </w:rPr>
        <w:t xml:space="preserve">. </w:t>
      </w:r>
      <w:r w:rsidRPr="00FB60E9">
        <w:rPr>
          <w:i/>
          <w:szCs w:val="22"/>
        </w:rPr>
        <w:t>The</w:t>
      </w:r>
      <w:r>
        <w:rPr>
          <w:szCs w:val="22"/>
        </w:rPr>
        <w:t xml:space="preserve"> </w:t>
      </w:r>
      <w:r w:rsidR="00E64E91" w:rsidRPr="002F52AB">
        <w:rPr>
          <w:i/>
          <w:szCs w:val="22"/>
        </w:rPr>
        <w:t xml:space="preserve">New Zealand </w:t>
      </w:r>
      <w:r>
        <w:rPr>
          <w:i/>
          <w:szCs w:val="22"/>
        </w:rPr>
        <w:t>Guidelines for Helping People to Stop Smoking</w:t>
      </w:r>
      <w:r w:rsidR="00E64E91" w:rsidRPr="002F52AB">
        <w:rPr>
          <w:i/>
          <w:szCs w:val="22"/>
        </w:rPr>
        <w:t>.</w:t>
      </w:r>
      <w:proofErr w:type="gramEnd"/>
      <w:r w:rsidR="00E64E91" w:rsidRPr="00CB7657">
        <w:rPr>
          <w:szCs w:val="22"/>
        </w:rPr>
        <w:t xml:space="preserve"> </w:t>
      </w:r>
      <w:r w:rsidR="00181215">
        <w:rPr>
          <w:szCs w:val="22"/>
        </w:rPr>
        <w:t xml:space="preserve">Wellington: Ministry of Health. </w:t>
      </w:r>
      <w:hyperlink r:id="rId31" w:history="1">
        <w:r w:rsidR="00181215" w:rsidRPr="00181215">
          <w:rPr>
            <w:rStyle w:val="Hyperlink"/>
            <w:szCs w:val="22"/>
          </w:rPr>
          <w:t>www.health.govt.nz/system/files/documents/publications/nz-guidelines-helping-people-stop-smoking-jun14.pdf</w:t>
        </w:r>
      </w:hyperlink>
    </w:p>
    <w:p w:rsidR="00E64E91" w:rsidRPr="00E6541D" w:rsidRDefault="00E64E91" w:rsidP="00C87D69">
      <w:pPr>
        <w:pStyle w:val="References"/>
      </w:pPr>
      <w:proofErr w:type="gramStart"/>
      <w:r w:rsidRPr="00375AC8">
        <w:t>Ministry of Health and National Health Board.</w:t>
      </w:r>
      <w:proofErr w:type="gramEnd"/>
      <w:r w:rsidRPr="00375AC8">
        <w:t xml:space="preserve"> 2011. </w:t>
      </w:r>
      <w:r w:rsidRPr="00C50ADB">
        <w:rPr>
          <w:i/>
        </w:rPr>
        <w:t>Targeting Smokers</w:t>
      </w:r>
      <w:r>
        <w:rPr>
          <w:i/>
        </w:rPr>
        <w:t>:</w:t>
      </w:r>
      <w:r w:rsidRPr="00C50ADB">
        <w:rPr>
          <w:i/>
        </w:rPr>
        <w:t xml:space="preserve"> Better help for smokers to quit</w:t>
      </w:r>
      <w:r w:rsidRPr="00375AC8">
        <w:t xml:space="preserve">. </w:t>
      </w:r>
      <w:r w:rsidR="00181215">
        <w:t xml:space="preserve">Wellington: Ministry of Health. </w:t>
      </w:r>
      <w:r>
        <w:t xml:space="preserve">URL: </w:t>
      </w:r>
      <w:hyperlink r:id="rId32" w:history="1">
        <w:r w:rsidR="00181215" w:rsidRPr="00181215">
          <w:rPr>
            <w:rStyle w:val="Hyperlink"/>
          </w:rPr>
          <w:t>www.moh.govt.nz/moh.nsf/indexmh/targeting-smokers-better-help-for-smokers-to-quit</w:t>
        </w:r>
      </w:hyperlink>
    </w:p>
    <w:p w:rsidR="00181215" w:rsidRDefault="00181215" w:rsidP="00C87D69">
      <w:pPr>
        <w:pStyle w:val="References"/>
      </w:pPr>
      <w:proofErr w:type="gramStart"/>
      <w:r>
        <w:lastRenderedPageBreak/>
        <w:t>NCCN</w:t>
      </w:r>
      <w:r w:rsidRPr="00524F2C">
        <w:t>.</w:t>
      </w:r>
      <w:proofErr w:type="gramEnd"/>
      <w:r w:rsidRPr="00524F2C">
        <w:t xml:space="preserve"> </w:t>
      </w:r>
      <w:r w:rsidRPr="00524F2C">
        <w:rPr>
          <w:i/>
        </w:rPr>
        <w:t xml:space="preserve">NCCN </w:t>
      </w:r>
      <w:proofErr w:type="spellStart"/>
      <w:r w:rsidRPr="00524F2C">
        <w:rPr>
          <w:i/>
        </w:rPr>
        <w:t>Guidelines</w:t>
      </w:r>
      <w:r w:rsidRPr="00524F2C">
        <w:rPr>
          <w:i/>
          <w:vertAlign w:val="superscript"/>
        </w:rPr>
        <w:t>TM</w:t>
      </w:r>
      <w:proofErr w:type="spellEnd"/>
      <w:r w:rsidRPr="00524F2C">
        <w:rPr>
          <w:i/>
        </w:rPr>
        <w:t xml:space="preserve"> Version 3.2011: Non-small cell lung cancer</w:t>
      </w:r>
      <w:r w:rsidRPr="00181215">
        <w:t>.</w:t>
      </w:r>
      <w:r w:rsidRPr="00524F2C">
        <w:t xml:space="preserve"> </w:t>
      </w:r>
      <w:r w:rsidRPr="00181215">
        <w:t>Fort Washington</w:t>
      </w:r>
      <w:r>
        <w:t>:</w:t>
      </w:r>
      <w:r w:rsidRPr="00181215">
        <w:t xml:space="preserve"> </w:t>
      </w:r>
      <w:r>
        <w:t xml:space="preserve">National Comprehensive Cancer Network. </w:t>
      </w:r>
      <w:r w:rsidRPr="00524F2C">
        <w:t xml:space="preserve">URL: </w:t>
      </w:r>
      <w:hyperlink r:id="rId33" w:history="1">
        <w:r w:rsidRPr="00181215">
          <w:rPr>
            <w:rStyle w:val="Hyperlink"/>
          </w:rPr>
          <w:t>www.nccn.org/professionals/physician_gls/f_guid</w:t>
        </w:r>
        <w:r w:rsidRPr="00745574">
          <w:rPr>
            <w:rStyle w:val="Hyperlink"/>
          </w:rPr>
          <w:t>elines.asp#nscl</w:t>
        </w:r>
      </w:hyperlink>
    </w:p>
    <w:p w:rsidR="002D0608" w:rsidRDefault="00E64E91" w:rsidP="00C87D69">
      <w:pPr>
        <w:pStyle w:val="References"/>
      </w:pPr>
      <w:r w:rsidRPr="00C357D2">
        <w:rPr>
          <w:szCs w:val="22"/>
        </w:rPr>
        <w:t xml:space="preserve">NHS Scotland. 2008. </w:t>
      </w:r>
      <w:r w:rsidRPr="00035C7A">
        <w:rPr>
          <w:i/>
          <w:szCs w:val="22"/>
        </w:rPr>
        <w:t xml:space="preserve">Clinical standards – July 2008 </w:t>
      </w:r>
      <w:r w:rsidR="00181215" w:rsidRPr="00FB60E9">
        <w:rPr>
          <w:szCs w:val="22"/>
        </w:rPr>
        <w:t>[</w:t>
      </w:r>
      <w:r w:rsidRPr="00FB60E9">
        <w:rPr>
          <w:szCs w:val="22"/>
        </w:rPr>
        <w:t>new edition</w:t>
      </w:r>
      <w:r w:rsidR="00181215" w:rsidRPr="00FB60E9">
        <w:rPr>
          <w:szCs w:val="22"/>
        </w:rPr>
        <w:t>]</w:t>
      </w:r>
      <w:r>
        <w:rPr>
          <w:i/>
          <w:szCs w:val="22"/>
        </w:rPr>
        <w:t>:</w:t>
      </w:r>
      <w:r w:rsidRPr="00035C7A">
        <w:rPr>
          <w:i/>
          <w:szCs w:val="22"/>
        </w:rPr>
        <w:t xml:space="preserve"> Management of lung cancer services</w:t>
      </w:r>
      <w:r w:rsidRPr="00C357D2">
        <w:rPr>
          <w:szCs w:val="22"/>
        </w:rPr>
        <w:t xml:space="preserve">. </w:t>
      </w:r>
      <w:r w:rsidR="00F9316E">
        <w:rPr>
          <w:szCs w:val="22"/>
        </w:rPr>
        <w:t xml:space="preserve">Edinburgh: National Health Service Scotland. </w:t>
      </w:r>
      <w:r>
        <w:rPr>
          <w:szCs w:val="22"/>
        </w:rPr>
        <w:t xml:space="preserve">URL: </w:t>
      </w:r>
      <w:hyperlink r:id="rId34" w:history="1">
        <w:r w:rsidR="00F9316E" w:rsidRPr="00F9316E">
          <w:rPr>
            <w:rStyle w:val="Hyperlink"/>
          </w:rPr>
          <w:t>www.healthcareimprovementscotland.org/programmes/cancer/cancer_resources/standards_for_cancer_services.aspx</w:t>
        </w:r>
      </w:hyperlink>
    </w:p>
    <w:p w:rsidR="006E0543" w:rsidRPr="00AF4061" w:rsidRDefault="006E0543" w:rsidP="00C87D69">
      <w:pPr>
        <w:pStyle w:val="References"/>
      </w:pPr>
      <w:r>
        <w:t>NICE</w:t>
      </w:r>
      <w:r w:rsidRPr="00375AC8">
        <w:t>. 2011.</w:t>
      </w:r>
      <w:r w:rsidRPr="00C50ADB">
        <w:rPr>
          <w:i/>
        </w:rPr>
        <w:t xml:space="preserve"> </w:t>
      </w:r>
      <w:r>
        <w:rPr>
          <w:i/>
        </w:rPr>
        <w:t>Lung cancer:</w:t>
      </w:r>
      <w:r w:rsidRPr="00C50ADB">
        <w:rPr>
          <w:i/>
        </w:rPr>
        <w:t xml:space="preserve"> The diagnosis and treatment of lung cancer</w:t>
      </w:r>
      <w:r w:rsidRPr="00F66BEF">
        <w:t>.</w:t>
      </w:r>
      <w:r>
        <w:rPr>
          <w:i/>
        </w:rPr>
        <w:t xml:space="preserve"> </w:t>
      </w:r>
      <w:r>
        <w:t>London: National Institute for Health and Clinical Excellence. URL:</w:t>
      </w:r>
      <w:r>
        <w:rPr>
          <w:i/>
          <w:szCs w:val="22"/>
        </w:rPr>
        <w:t xml:space="preserve"> </w:t>
      </w:r>
      <w:hyperlink r:id="rId35" w:history="1">
        <w:r w:rsidRPr="00280CC1">
          <w:rPr>
            <w:rStyle w:val="Hyperlink"/>
            <w:szCs w:val="22"/>
          </w:rPr>
          <w:t>www.</w:t>
        </w:r>
        <w:r w:rsidRPr="00280CC1">
          <w:rPr>
            <w:rStyle w:val="Hyperlink"/>
            <w:bCs/>
            <w:szCs w:val="22"/>
          </w:rPr>
          <w:t>nice</w:t>
        </w:r>
        <w:r w:rsidRPr="00280CC1">
          <w:rPr>
            <w:rStyle w:val="Hyperlink"/>
            <w:szCs w:val="22"/>
          </w:rPr>
          <w:t>.</w:t>
        </w:r>
        <w:r w:rsidRPr="00280CC1">
          <w:rPr>
            <w:rStyle w:val="Hyperlink"/>
            <w:bCs/>
            <w:szCs w:val="22"/>
          </w:rPr>
          <w:t>org</w:t>
        </w:r>
        <w:r w:rsidRPr="00280CC1">
          <w:rPr>
            <w:rStyle w:val="Hyperlink"/>
            <w:szCs w:val="22"/>
          </w:rPr>
          <w:t>.</w:t>
        </w:r>
        <w:r w:rsidRPr="00280CC1">
          <w:rPr>
            <w:rStyle w:val="Hyperlink"/>
            <w:bCs/>
            <w:szCs w:val="22"/>
          </w:rPr>
          <w:t>uk</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cg121</w:t>
        </w:r>
        <w:r w:rsidRPr="00280CC1">
          <w:rPr>
            <w:rStyle w:val="Hyperlink"/>
            <w:szCs w:val="22"/>
          </w:rPr>
          <w:t>/</w:t>
        </w:r>
        <w:r w:rsidRPr="00280CC1">
          <w:rPr>
            <w:rStyle w:val="Hyperlink"/>
            <w:bCs/>
            <w:szCs w:val="22"/>
          </w:rPr>
          <w:t>resources</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lung</w:t>
        </w:r>
        <w:r w:rsidRPr="00280CC1">
          <w:rPr>
            <w:rStyle w:val="Hyperlink"/>
            <w:szCs w:val="22"/>
          </w:rPr>
          <w:t>-</w:t>
        </w:r>
        <w:r w:rsidRPr="00280CC1">
          <w:rPr>
            <w:rStyle w:val="Hyperlink"/>
            <w:bCs/>
            <w:szCs w:val="22"/>
          </w:rPr>
          <w:t>cancer</w:t>
        </w:r>
        <w:r w:rsidRPr="00280CC1">
          <w:rPr>
            <w:rStyle w:val="Hyperlink"/>
            <w:szCs w:val="22"/>
          </w:rPr>
          <w:t>-</w:t>
        </w:r>
        <w:r w:rsidRPr="00280CC1">
          <w:rPr>
            <w:rStyle w:val="Hyperlink"/>
            <w:bCs/>
            <w:szCs w:val="22"/>
          </w:rPr>
          <w:t>pdf</w:t>
        </w:r>
      </w:hyperlink>
    </w:p>
    <w:p w:rsidR="00181215" w:rsidRDefault="00181215" w:rsidP="00C87D69">
      <w:pPr>
        <w:pStyle w:val="References"/>
      </w:pPr>
      <w:proofErr w:type="gramStart"/>
      <w:r>
        <w:t>NZGG</w:t>
      </w:r>
      <w:r w:rsidRPr="000759DB">
        <w:t>.</w:t>
      </w:r>
      <w:proofErr w:type="gramEnd"/>
      <w:r w:rsidRPr="000759DB">
        <w:t xml:space="preserve"> 2009. </w:t>
      </w:r>
      <w:r w:rsidRPr="00D43ECE">
        <w:rPr>
          <w:i/>
        </w:rPr>
        <w:t>Suspected Cancer in Primary Care</w:t>
      </w:r>
      <w:r>
        <w:rPr>
          <w:i/>
        </w:rPr>
        <w:t>:</w:t>
      </w:r>
      <w:r w:rsidRPr="00D43ECE">
        <w:rPr>
          <w:i/>
        </w:rPr>
        <w:t xml:space="preserve"> Guidelines for investigation, referral and reducing ethnic disparities</w:t>
      </w:r>
      <w:r>
        <w:t xml:space="preserve">. Wellington: New Zealand Guidelines Group. URL: </w:t>
      </w:r>
      <w:hyperlink r:id="rId36" w:history="1">
        <w:r w:rsidRPr="004E4604">
          <w:rPr>
            <w:rStyle w:val="Hyperlink"/>
          </w:rPr>
          <w:t>www.health.govt.nz/publication/suspected-cancer-primary-care-guidelines-investigation-referral-and-reducing-ethnic-disparities</w:t>
        </w:r>
      </w:hyperlink>
    </w:p>
    <w:p w:rsidR="00E64E91" w:rsidRPr="00C357D2" w:rsidRDefault="00E64E91" w:rsidP="00C87D69">
      <w:pPr>
        <w:pStyle w:val="References"/>
        <w:rPr>
          <w:szCs w:val="22"/>
        </w:rPr>
      </w:pPr>
      <w:proofErr w:type="gramStart"/>
      <w:r w:rsidRPr="00C357D2">
        <w:rPr>
          <w:szCs w:val="22"/>
        </w:rPr>
        <w:t>Victorian Government Department of Human Services.</w:t>
      </w:r>
      <w:proofErr w:type="gramEnd"/>
      <w:r w:rsidRPr="00C357D2">
        <w:rPr>
          <w:szCs w:val="22"/>
        </w:rPr>
        <w:t xml:space="preserve"> 2006. </w:t>
      </w:r>
      <w:r w:rsidRPr="00035C7A">
        <w:rPr>
          <w:i/>
          <w:szCs w:val="22"/>
        </w:rPr>
        <w:t xml:space="preserve">Patient </w:t>
      </w:r>
      <w:r>
        <w:rPr>
          <w:i/>
          <w:szCs w:val="22"/>
        </w:rPr>
        <w:t>M</w:t>
      </w:r>
      <w:r w:rsidRPr="00035C7A">
        <w:rPr>
          <w:i/>
          <w:szCs w:val="22"/>
        </w:rPr>
        <w:t xml:space="preserve">anagement </w:t>
      </w:r>
      <w:r>
        <w:rPr>
          <w:i/>
          <w:szCs w:val="22"/>
        </w:rPr>
        <w:t>F</w:t>
      </w:r>
      <w:r w:rsidRPr="00035C7A">
        <w:rPr>
          <w:i/>
          <w:szCs w:val="22"/>
        </w:rPr>
        <w:t>ramework</w:t>
      </w:r>
      <w:r>
        <w:rPr>
          <w:i/>
          <w:szCs w:val="22"/>
        </w:rPr>
        <w:t>:</w:t>
      </w:r>
      <w:r w:rsidRPr="00035C7A">
        <w:rPr>
          <w:i/>
          <w:szCs w:val="22"/>
        </w:rPr>
        <w:t xml:space="preserve"> Lung tumour stream: </w:t>
      </w:r>
      <w:r>
        <w:rPr>
          <w:i/>
          <w:szCs w:val="22"/>
        </w:rPr>
        <w:t>N</w:t>
      </w:r>
      <w:r w:rsidRPr="00035C7A">
        <w:rPr>
          <w:i/>
          <w:szCs w:val="22"/>
        </w:rPr>
        <w:t>on-small cell lung cancer</w:t>
      </w:r>
      <w:r>
        <w:rPr>
          <w:i/>
          <w:szCs w:val="22"/>
        </w:rPr>
        <w:t>:</w:t>
      </w:r>
      <w:r w:rsidRPr="00035C7A">
        <w:rPr>
          <w:i/>
          <w:szCs w:val="22"/>
        </w:rPr>
        <w:t xml:space="preserve"> </w:t>
      </w:r>
      <w:r>
        <w:rPr>
          <w:i/>
          <w:szCs w:val="22"/>
        </w:rPr>
        <w:t>A</w:t>
      </w:r>
      <w:r w:rsidRPr="00035C7A">
        <w:rPr>
          <w:i/>
          <w:szCs w:val="22"/>
        </w:rPr>
        <w:t xml:space="preserve"> guide to consistent cancer care</w:t>
      </w:r>
      <w:r w:rsidRPr="00C357D2">
        <w:rPr>
          <w:szCs w:val="22"/>
        </w:rPr>
        <w:t xml:space="preserve">. </w:t>
      </w:r>
      <w:r w:rsidR="00F9316E">
        <w:rPr>
          <w:szCs w:val="22"/>
        </w:rPr>
        <w:t xml:space="preserve">Melbourne: </w:t>
      </w:r>
      <w:r w:rsidR="00F9316E" w:rsidRPr="00C357D2">
        <w:rPr>
          <w:szCs w:val="22"/>
        </w:rPr>
        <w:t>Victorian Government Department of Human Services</w:t>
      </w:r>
      <w:r w:rsidR="00F9316E">
        <w:rPr>
          <w:szCs w:val="22"/>
        </w:rPr>
        <w:t xml:space="preserve">. </w:t>
      </w:r>
      <w:r>
        <w:rPr>
          <w:szCs w:val="22"/>
        </w:rPr>
        <w:t>URL:</w:t>
      </w:r>
      <w:r w:rsidR="00E6541D">
        <w:rPr>
          <w:szCs w:val="22"/>
        </w:rPr>
        <w:t xml:space="preserve"> </w:t>
      </w:r>
      <w:hyperlink r:id="rId37" w:history="1">
        <w:r w:rsidR="00AF4061" w:rsidRPr="000C7781">
          <w:rPr>
            <w:rStyle w:val="Hyperlink"/>
            <w:szCs w:val="22"/>
          </w:rPr>
          <w:t>http://docs.health.vic.gov.au/docs/doc/DA00DB38C46CE6D9CA2578E700839881/$FILE/lungpmf.pdf</w:t>
        </w:r>
      </w:hyperlink>
      <w:hyperlink w:history="1"/>
    </w:p>
    <w:p w:rsidR="007C4C3A" w:rsidRDefault="00F9316E" w:rsidP="00C87D69">
      <w:pPr>
        <w:pStyle w:val="References"/>
        <w:rPr>
          <w:szCs w:val="20"/>
        </w:rPr>
      </w:pPr>
      <w:r>
        <w:rPr>
          <w:szCs w:val="22"/>
        </w:rPr>
        <w:t>NHS Wales</w:t>
      </w:r>
      <w:r w:rsidR="00E64E91" w:rsidRPr="00C357D2">
        <w:rPr>
          <w:szCs w:val="22"/>
        </w:rPr>
        <w:t xml:space="preserve">. 2005. </w:t>
      </w:r>
      <w:r w:rsidR="00E64E91" w:rsidRPr="00035C7A">
        <w:rPr>
          <w:i/>
          <w:szCs w:val="20"/>
        </w:rPr>
        <w:t>National Standards for Lung Cancer Services 2005</w:t>
      </w:r>
      <w:r w:rsidR="00E64E91" w:rsidRPr="00C357D2">
        <w:rPr>
          <w:szCs w:val="20"/>
        </w:rPr>
        <w:t>.</w:t>
      </w:r>
      <w:r>
        <w:rPr>
          <w:szCs w:val="20"/>
        </w:rPr>
        <w:t xml:space="preserve"> Cardiff: National Health Service Wales.</w:t>
      </w:r>
      <w:r w:rsidR="00E64E91" w:rsidRPr="00C357D2">
        <w:rPr>
          <w:szCs w:val="20"/>
        </w:rPr>
        <w:t xml:space="preserve"> </w:t>
      </w:r>
      <w:r w:rsidR="00E64E91">
        <w:rPr>
          <w:szCs w:val="20"/>
        </w:rPr>
        <w:t>URL:</w:t>
      </w:r>
      <w:r w:rsidR="00AF4061">
        <w:rPr>
          <w:szCs w:val="20"/>
        </w:rPr>
        <w:t xml:space="preserve"> </w:t>
      </w:r>
      <w:hyperlink r:id="rId38" w:history="1">
        <w:r w:rsidRPr="00F9316E">
          <w:rPr>
            <w:rStyle w:val="Hyperlink"/>
            <w:szCs w:val="20"/>
          </w:rPr>
          <w:t>www.wales.nhs.uk/documents/Lung_Eng.pdf</w:t>
        </w:r>
      </w:hyperlink>
    </w:p>
    <w:p w:rsidR="00E24D23" w:rsidRPr="001D4FCA" w:rsidRDefault="00E24D23" w:rsidP="007F4F59">
      <w:pPr>
        <w:pStyle w:val="Heading3"/>
      </w:pPr>
      <w:r w:rsidRPr="001D4FCA">
        <w:t>Prevention and early identification</w:t>
      </w:r>
    </w:p>
    <w:p w:rsidR="002D0608" w:rsidRDefault="00E24D23" w:rsidP="00C87D69">
      <w:pPr>
        <w:pStyle w:val="References"/>
        <w:rPr>
          <w:szCs w:val="22"/>
        </w:rPr>
      </w:pPr>
      <w:proofErr w:type="gramStart"/>
      <w:r w:rsidRPr="00A4247F">
        <w:rPr>
          <w:szCs w:val="22"/>
        </w:rPr>
        <w:t xml:space="preserve">Health </w:t>
      </w:r>
      <w:r>
        <w:rPr>
          <w:szCs w:val="22"/>
        </w:rPr>
        <w:t>and</w:t>
      </w:r>
      <w:r w:rsidRPr="00A4247F">
        <w:rPr>
          <w:szCs w:val="22"/>
        </w:rPr>
        <w:t xml:space="preserve"> Disability Commissioner.</w:t>
      </w:r>
      <w:proofErr w:type="gramEnd"/>
      <w:r w:rsidRPr="00A4247F">
        <w:rPr>
          <w:szCs w:val="22"/>
        </w:rPr>
        <w:t xml:space="preserve"> 2015. </w:t>
      </w:r>
      <w:r w:rsidRPr="00DE19C2">
        <w:rPr>
          <w:i/>
          <w:szCs w:val="22"/>
        </w:rPr>
        <w:t xml:space="preserve">Delayed Diagnosis of Cancer in Primary Care. What do our complaints tell us? </w:t>
      </w:r>
      <w:r>
        <w:rPr>
          <w:szCs w:val="22"/>
        </w:rPr>
        <w:t xml:space="preserve">Wellington: </w:t>
      </w:r>
      <w:r w:rsidRPr="00A4247F">
        <w:rPr>
          <w:szCs w:val="22"/>
        </w:rPr>
        <w:t xml:space="preserve">Health </w:t>
      </w:r>
      <w:r>
        <w:rPr>
          <w:szCs w:val="22"/>
        </w:rPr>
        <w:t>and</w:t>
      </w:r>
      <w:r w:rsidRPr="00A4247F">
        <w:rPr>
          <w:szCs w:val="22"/>
        </w:rPr>
        <w:t xml:space="preserve"> Disability Commissioner. URL:</w:t>
      </w:r>
      <w:r>
        <w:rPr>
          <w:szCs w:val="22"/>
        </w:rPr>
        <w:t xml:space="preserve"> </w:t>
      </w:r>
      <w:hyperlink r:id="rId39" w:history="1">
        <w:r w:rsidRPr="00566142">
          <w:rPr>
            <w:rStyle w:val="Hyperlink"/>
            <w:szCs w:val="22"/>
          </w:rPr>
          <w:t>www.hdc.org.nz/media/283893/delayed%20diagnosis%20of%20cancer%20in%20primary%20care%20%20nz%20</w:t>
        </w:r>
        <w:r w:rsidRPr="0029676C">
          <w:rPr>
            <w:rStyle w:val="Hyperlink"/>
            <w:szCs w:val="22"/>
          </w:rPr>
          <w:t>doctor%20april%202015.pdf</w:t>
        </w:r>
      </w:hyperlink>
    </w:p>
    <w:p w:rsidR="005237D2" w:rsidRDefault="005237D2" w:rsidP="005237D2">
      <w:pPr>
        <w:pStyle w:val="References"/>
      </w:pPr>
      <w:proofErr w:type="gramStart"/>
      <w:r>
        <w:t>Ministry of Health.</w:t>
      </w:r>
      <w:proofErr w:type="gramEnd"/>
      <w:r>
        <w:t xml:space="preserve"> 2016. Faster Cancer Treatment: High suspicion of cancer definitions</w:t>
      </w:r>
      <w:r w:rsidRPr="00B4133C">
        <w:t>.</w:t>
      </w:r>
      <w:r w:rsidRPr="00102999">
        <w:t xml:space="preserve"> URL:</w:t>
      </w:r>
      <w:r>
        <w:t xml:space="preserve"> </w:t>
      </w:r>
      <w:r w:rsidRPr="005237D2">
        <w:rPr>
          <w:rStyle w:val="Hyperlink"/>
          <w:szCs w:val="22"/>
        </w:rPr>
        <w:t>http://nsfl.health.govt.nz/system/files/documents/publications/hscan_definition_updated_final_18_april_16.pdf</w:t>
      </w:r>
    </w:p>
    <w:p w:rsidR="002D0608" w:rsidRDefault="00E24D23" w:rsidP="00C87D69">
      <w:pPr>
        <w:pStyle w:val="References"/>
        <w:rPr>
          <w:szCs w:val="22"/>
        </w:rPr>
      </w:pPr>
      <w:proofErr w:type="gramStart"/>
      <w:r w:rsidRPr="00CB7657">
        <w:rPr>
          <w:szCs w:val="22"/>
        </w:rPr>
        <w:t>Ministry of Health.</w:t>
      </w:r>
      <w:proofErr w:type="gramEnd"/>
      <w:r w:rsidRPr="00CB7657">
        <w:rPr>
          <w:szCs w:val="22"/>
        </w:rPr>
        <w:t xml:space="preserve"> 20</w:t>
      </w:r>
      <w:r>
        <w:rPr>
          <w:szCs w:val="22"/>
        </w:rPr>
        <w:t>14</w:t>
      </w:r>
      <w:r w:rsidRPr="00CB7657">
        <w:rPr>
          <w:szCs w:val="22"/>
        </w:rPr>
        <w:t xml:space="preserve">. </w:t>
      </w:r>
      <w:r w:rsidRPr="005738B0">
        <w:rPr>
          <w:i/>
          <w:szCs w:val="22"/>
        </w:rPr>
        <w:t>The</w:t>
      </w:r>
      <w:r>
        <w:rPr>
          <w:szCs w:val="22"/>
        </w:rPr>
        <w:t xml:space="preserve"> </w:t>
      </w:r>
      <w:r w:rsidRPr="002F52AB">
        <w:rPr>
          <w:i/>
          <w:szCs w:val="22"/>
        </w:rPr>
        <w:t xml:space="preserve">New Zealand </w:t>
      </w:r>
      <w:r>
        <w:rPr>
          <w:i/>
          <w:szCs w:val="22"/>
        </w:rPr>
        <w:t>Guidelines for Helping People to Stop Smoking</w:t>
      </w:r>
      <w:r w:rsidRPr="00FB60E9">
        <w:rPr>
          <w:szCs w:val="22"/>
        </w:rPr>
        <w:t>.</w:t>
      </w:r>
      <w:r w:rsidRPr="00CB7657">
        <w:rPr>
          <w:szCs w:val="22"/>
        </w:rPr>
        <w:t xml:space="preserve"> </w:t>
      </w:r>
      <w:r>
        <w:rPr>
          <w:szCs w:val="22"/>
        </w:rPr>
        <w:t xml:space="preserve">Wellington: Ministry of Health. URL: </w:t>
      </w:r>
      <w:hyperlink r:id="rId40" w:history="1">
        <w:r w:rsidRPr="00D85EA3">
          <w:rPr>
            <w:rStyle w:val="Hyperlink"/>
            <w:szCs w:val="22"/>
          </w:rPr>
          <w:t>www.health.govt.nz/system/files/documents/publications/nz-guidelines-helping-people-stop-smoking-jun14.pdf</w:t>
        </w:r>
      </w:hyperlink>
    </w:p>
    <w:p w:rsidR="00E24D23" w:rsidRPr="00375AC8" w:rsidRDefault="00E24D23" w:rsidP="00C87D69">
      <w:pPr>
        <w:pStyle w:val="References"/>
      </w:pPr>
      <w:proofErr w:type="gramStart"/>
      <w:r w:rsidRPr="00375AC8">
        <w:t>Ministry of Health and National Health Board.</w:t>
      </w:r>
      <w:proofErr w:type="gramEnd"/>
      <w:r w:rsidRPr="00375AC8">
        <w:t xml:space="preserve"> 2011. </w:t>
      </w:r>
      <w:r w:rsidRPr="00C50ADB">
        <w:rPr>
          <w:i/>
        </w:rPr>
        <w:t>Targeting Smokers</w:t>
      </w:r>
      <w:r>
        <w:rPr>
          <w:i/>
        </w:rPr>
        <w:t>:</w:t>
      </w:r>
      <w:r w:rsidRPr="00C50ADB">
        <w:rPr>
          <w:i/>
        </w:rPr>
        <w:t xml:space="preserve"> Better help for smokers to quit</w:t>
      </w:r>
      <w:r w:rsidRPr="00375AC8">
        <w:t>.</w:t>
      </w:r>
      <w:r>
        <w:t xml:space="preserve"> Wellington: Ministry of Health.</w:t>
      </w:r>
      <w:r w:rsidRPr="00375AC8">
        <w:t xml:space="preserve"> </w:t>
      </w:r>
      <w:r>
        <w:t xml:space="preserve">URL: </w:t>
      </w:r>
      <w:r w:rsidRPr="00D85EA3">
        <w:t>www.health.govt.nz/publication/targeting-smokers-better-help-smokers-quit</w:t>
      </w:r>
    </w:p>
    <w:p w:rsidR="002D0608" w:rsidRDefault="00E24D23" w:rsidP="00C87D69">
      <w:pPr>
        <w:pStyle w:val="References"/>
        <w:rPr>
          <w:color w:val="666666"/>
        </w:rPr>
      </w:pPr>
      <w:r>
        <w:t>NICE</w:t>
      </w:r>
      <w:r w:rsidRPr="00375AC8">
        <w:t>. 2011.</w:t>
      </w:r>
      <w:r w:rsidRPr="00C50ADB">
        <w:rPr>
          <w:i/>
        </w:rPr>
        <w:t xml:space="preserve"> </w:t>
      </w:r>
      <w:r>
        <w:rPr>
          <w:i/>
        </w:rPr>
        <w:t>Lung cancer:</w:t>
      </w:r>
      <w:r w:rsidRPr="00C50ADB">
        <w:rPr>
          <w:i/>
        </w:rPr>
        <w:t xml:space="preserve"> The diagnosis and treatment of lung cancer</w:t>
      </w:r>
      <w:r w:rsidRPr="00FB60E9">
        <w:t>.</w:t>
      </w:r>
      <w:r>
        <w:rPr>
          <w:i/>
        </w:rPr>
        <w:t xml:space="preserve"> </w:t>
      </w:r>
      <w:r>
        <w:t xml:space="preserve">London: </w:t>
      </w:r>
      <w:r w:rsidRPr="00375AC8">
        <w:t>National Institute for Health and Clinical Excellence</w:t>
      </w:r>
      <w:r>
        <w:t xml:space="preserve">. URL: </w:t>
      </w:r>
      <w:hyperlink r:id="rId41" w:history="1">
        <w:r w:rsidRPr="00280CC1">
          <w:rPr>
            <w:rStyle w:val="Hyperlink"/>
            <w:szCs w:val="22"/>
          </w:rPr>
          <w:t>www.</w:t>
        </w:r>
        <w:r w:rsidRPr="00280CC1">
          <w:rPr>
            <w:rStyle w:val="Hyperlink"/>
            <w:bCs/>
            <w:szCs w:val="22"/>
          </w:rPr>
          <w:t>nice</w:t>
        </w:r>
        <w:r w:rsidRPr="00280CC1">
          <w:rPr>
            <w:rStyle w:val="Hyperlink"/>
            <w:szCs w:val="22"/>
          </w:rPr>
          <w:t>.</w:t>
        </w:r>
        <w:r w:rsidRPr="00280CC1">
          <w:rPr>
            <w:rStyle w:val="Hyperlink"/>
            <w:bCs/>
            <w:szCs w:val="22"/>
          </w:rPr>
          <w:t>org</w:t>
        </w:r>
        <w:r w:rsidRPr="00280CC1">
          <w:rPr>
            <w:rStyle w:val="Hyperlink"/>
            <w:szCs w:val="22"/>
          </w:rPr>
          <w:t>.</w:t>
        </w:r>
        <w:r w:rsidRPr="00280CC1">
          <w:rPr>
            <w:rStyle w:val="Hyperlink"/>
            <w:bCs/>
            <w:szCs w:val="22"/>
          </w:rPr>
          <w:t>uk</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cg121</w:t>
        </w:r>
        <w:r w:rsidRPr="00280CC1">
          <w:rPr>
            <w:rStyle w:val="Hyperlink"/>
            <w:szCs w:val="22"/>
          </w:rPr>
          <w:t>/</w:t>
        </w:r>
        <w:r w:rsidRPr="00280CC1">
          <w:rPr>
            <w:rStyle w:val="Hyperlink"/>
            <w:bCs/>
            <w:szCs w:val="22"/>
          </w:rPr>
          <w:t>resources</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lung</w:t>
        </w:r>
        <w:r w:rsidRPr="00280CC1">
          <w:rPr>
            <w:rStyle w:val="Hyperlink"/>
            <w:szCs w:val="22"/>
          </w:rPr>
          <w:t>-</w:t>
        </w:r>
        <w:r w:rsidRPr="00280CC1">
          <w:rPr>
            <w:rStyle w:val="Hyperlink"/>
            <w:bCs/>
            <w:szCs w:val="22"/>
          </w:rPr>
          <w:t>cancer</w:t>
        </w:r>
        <w:r w:rsidRPr="00280CC1">
          <w:rPr>
            <w:rStyle w:val="Hyperlink"/>
            <w:szCs w:val="22"/>
          </w:rPr>
          <w:t>-</w:t>
        </w:r>
        <w:r w:rsidRPr="00280CC1">
          <w:rPr>
            <w:rStyle w:val="Hyperlink"/>
            <w:bCs/>
            <w:szCs w:val="22"/>
          </w:rPr>
          <w:t>pdf</w:t>
        </w:r>
      </w:hyperlink>
    </w:p>
    <w:p w:rsidR="001D4FCA" w:rsidRDefault="001D4FCA" w:rsidP="00C87D69">
      <w:pPr>
        <w:pStyle w:val="References"/>
        <w:rPr>
          <w:szCs w:val="22"/>
        </w:rPr>
      </w:pPr>
      <w:proofErr w:type="spellStart"/>
      <w:proofErr w:type="gramStart"/>
      <w:r w:rsidRPr="001D4FCA">
        <w:rPr>
          <w:szCs w:val="22"/>
        </w:rPr>
        <w:t>Hippisley</w:t>
      </w:r>
      <w:proofErr w:type="spellEnd"/>
      <w:r w:rsidRPr="001D4FCA">
        <w:rPr>
          <w:szCs w:val="22"/>
        </w:rPr>
        <w:t xml:space="preserve">-Cox J, </w:t>
      </w:r>
      <w:proofErr w:type="spellStart"/>
      <w:r w:rsidRPr="001D4FCA">
        <w:rPr>
          <w:szCs w:val="22"/>
        </w:rPr>
        <w:t>Coupland</w:t>
      </w:r>
      <w:proofErr w:type="spellEnd"/>
      <w:r w:rsidRPr="001D4FCA">
        <w:rPr>
          <w:szCs w:val="22"/>
        </w:rPr>
        <w:t xml:space="preserve"> C.</w:t>
      </w:r>
      <w:r w:rsidR="00E24D23" w:rsidRPr="00462295">
        <w:rPr>
          <w:szCs w:val="22"/>
        </w:rPr>
        <w:t xml:space="preserve"> 2011.</w:t>
      </w:r>
      <w:proofErr w:type="gramEnd"/>
      <w:r w:rsidR="00E24D23" w:rsidRPr="00462295">
        <w:rPr>
          <w:szCs w:val="22"/>
        </w:rPr>
        <w:t xml:space="preserve"> </w:t>
      </w:r>
      <w:proofErr w:type="gramStart"/>
      <w:r w:rsidR="00E24D23" w:rsidRPr="00DE19C2">
        <w:rPr>
          <w:i/>
          <w:szCs w:val="22"/>
        </w:rPr>
        <w:t>Identifying patients with suspected lung cancer in primary care: derivation and validation of an algorithm</w:t>
      </w:r>
      <w:r w:rsidR="00E24D23" w:rsidRPr="001D4FCA">
        <w:rPr>
          <w:szCs w:val="22"/>
        </w:rPr>
        <w:t>.</w:t>
      </w:r>
      <w:proofErr w:type="gramEnd"/>
      <w:r w:rsidR="00E24D23" w:rsidRPr="001D4FCA">
        <w:rPr>
          <w:szCs w:val="22"/>
        </w:rPr>
        <w:t xml:space="preserve"> </w:t>
      </w:r>
      <w:r w:rsidRPr="001D4FCA">
        <w:rPr>
          <w:szCs w:val="22"/>
        </w:rPr>
        <w:t>British Journal of General Practice 61(592): e715–23</w:t>
      </w:r>
      <w:r>
        <w:rPr>
          <w:szCs w:val="22"/>
        </w:rPr>
        <w:t>.</w:t>
      </w:r>
    </w:p>
    <w:p w:rsidR="002D59EA" w:rsidRDefault="00E24D23" w:rsidP="005237D2">
      <w:pPr>
        <w:pStyle w:val="References"/>
        <w:spacing w:before="0"/>
        <w:rPr>
          <w:szCs w:val="22"/>
        </w:rPr>
      </w:pPr>
      <w:r w:rsidRPr="00462295">
        <w:rPr>
          <w:szCs w:val="22"/>
        </w:rPr>
        <w:lastRenderedPageBreak/>
        <w:t xml:space="preserve">URL: </w:t>
      </w:r>
      <w:hyperlink r:id="rId42" w:history="1">
        <w:r w:rsidR="002D59EA" w:rsidRPr="004A69F2">
          <w:rPr>
            <w:rStyle w:val="Hyperlink"/>
            <w:szCs w:val="22"/>
          </w:rPr>
          <w:t>http://www.ncbi.nlm.nih.gov/pmc/articles/PMC3207089/</w:t>
        </w:r>
      </w:hyperlink>
    </w:p>
    <w:p w:rsidR="00E24D23" w:rsidRPr="001D4FCA" w:rsidRDefault="00E24D23" w:rsidP="007F4F59">
      <w:pPr>
        <w:pStyle w:val="Heading3"/>
      </w:pPr>
      <w:r w:rsidRPr="001D4FCA">
        <w:t>Timely access to services</w:t>
      </w:r>
    </w:p>
    <w:p w:rsidR="00E24D23" w:rsidRDefault="00E24D23" w:rsidP="00C87D69">
      <w:pPr>
        <w:pStyle w:val="References"/>
      </w:pPr>
      <w:proofErr w:type="gramStart"/>
      <w:r w:rsidRPr="00462295">
        <w:t>Ministry of Health</w:t>
      </w:r>
      <w:r>
        <w:t>.</w:t>
      </w:r>
      <w:proofErr w:type="gramEnd"/>
      <w:r>
        <w:t xml:space="preserve"> </w:t>
      </w:r>
      <w:r w:rsidRPr="00462295">
        <w:t xml:space="preserve">2015. </w:t>
      </w:r>
      <w:r w:rsidRPr="00FB60E9">
        <w:t>Faster Cancer Treatment programme</w:t>
      </w:r>
      <w:r w:rsidRPr="004E4604">
        <w:t>.</w:t>
      </w:r>
      <w:r>
        <w:t xml:space="preserve"> URL:</w:t>
      </w:r>
      <w:r w:rsidRPr="00462295">
        <w:t xml:space="preserve"> </w:t>
      </w:r>
      <w:hyperlink r:id="rId43" w:history="1">
        <w:r w:rsidRPr="004E4604">
          <w:rPr>
            <w:rStyle w:val="Hyperlink"/>
          </w:rPr>
          <w:t>www.health.govt.nz/our-work/diseases-and-conditions/cancer-programme/faster-cancer-treatment-programme</w:t>
        </w:r>
      </w:hyperlink>
    </w:p>
    <w:p w:rsidR="00E24D23" w:rsidRDefault="00E24D23" w:rsidP="00C87D69">
      <w:pPr>
        <w:pStyle w:val="References"/>
      </w:pPr>
      <w:proofErr w:type="gramStart"/>
      <w:r>
        <w:t>NZGG</w:t>
      </w:r>
      <w:r w:rsidRPr="000759DB">
        <w:t>.</w:t>
      </w:r>
      <w:proofErr w:type="gramEnd"/>
      <w:r w:rsidRPr="000759DB">
        <w:t xml:space="preserve"> 2009. </w:t>
      </w:r>
      <w:r w:rsidRPr="00D43ECE">
        <w:rPr>
          <w:i/>
        </w:rPr>
        <w:t>Suspected Cancer in Primary Care</w:t>
      </w:r>
      <w:r>
        <w:rPr>
          <w:i/>
        </w:rPr>
        <w:t>:</w:t>
      </w:r>
      <w:r w:rsidRPr="00D43ECE">
        <w:rPr>
          <w:i/>
        </w:rPr>
        <w:t xml:space="preserve"> Guidelines for investigation, referral and reducing ethnic disparities</w:t>
      </w:r>
      <w:r>
        <w:t xml:space="preserve">. Wellington: New Zealand Guidelines Group. URL: </w:t>
      </w:r>
      <w:hyperlink r:id="rId44" w:history="1">
        <w:r w:rsidRPr="004E4604">
          <w:rPr>
            <w:rStyle w:val="Hyperlink"/>
          </w:rPr>
          <w:t>www.health.govt.nz/publication/suspected-cancer-primary-care-guidelines-investigation-referral-and-reducing-ethnic-disparities</w:t>
        </w:r>
      </w:hyperlink>
    </w:p>
    <w:p w:rsidR="00E24D23" w:rsidRPr="002D59EA" w:rsidRDefault="00E24D23" w:rsidP="007F4F59">
      <w:pPr>
        <w:pStyle w:val="Heading3"/>
      </w:pPr>
      <w:r w:rsidRPr="002D59EA">
        <w:t>Referral and communication</w:t>
      </w:r>
    </w:p>
    <w:p w:rsidR="002D59EA" w:rsidRDefault="00E24D23" w:rsidP="00C87D69">
      <w:pPr>
        <w:pStyle w:val="References"/>
      </w:pPr>
      <w:proofErr w:type="gramStart"/>
      <w:r>
        <w:t>Ministry of Health.</w:t>
      </w:r>
      <w:proofErr w:type="gramEnd"/>
      <w:r>
        <w:t xml:space="preserve"> 2010. </w:t>
      </w:r>
      <w:r w:rsidRPr="004211BF">
        <w:t>Medical Oncology Prioritisation Criteria</w:t>
      </w:r>
      <w:r w:rsidRPr="00B4133C">
        <w:t>.</w:t>
      </w:r>
      <w:r w:rsidRPr="00102999">
        <w:t xml:space="preserve"> URL: </w:t>
      </w:r>
      <w:hyperlink r:id="rId45" w:history="1">
        <w:r w:rsidR="002D59EA" w:rsidRPr="004A69F2">
          <w:rPr>
            <w:rStyle w:val="Hyperlink"/>
          </w:rPr>
          <w:t>http://nsfl.health.govt.nz/accountability/performance-and-monitoring/business-rules-and-templates-reporting/shorter-waits</w:t>
        </w:r>
      </w:hyperlink>
    </w:p>
    <w:p w:rsidR="00E24D23" w:rsidRPr="00653790" w:rsidRDefault="00E24D23" w:rsidP="00C87D69">
      <w:pPr>
        <w:pStyle w:val="References"/>
        <w:rPr>
          <w:i/>
        </w:rPr>
      </w:pPr>
      <w:proofErr w:type="gramStart"/>
      <w:r w:rsidRPr="00C66FB9">
        <w:t>Ministry of Health</w:t>
      </w:r>
      <w:r>
        <w:t>.</w:t>
      </w:r>
      <w:proofErr w:type="gramEnd"/>
      <w:r>
        <w:t xml:space="preserve"> 2012. </w:t>
      </w:r>
      <w:r>
        <w:rPr>
          <w:i/>
        </w:rPr>
        <w:t xml:space="preserve">Improving the System: Meeting the Challenge: Improving patient flow for electives. </w:t>
      </w:r>
      <w:proofErr w:type="gramStart"/>
      <w:r>
        <w:rPr>
          <w:i/>
        </w:rPr>
        <w:t>A toolkit for District Health Boards</w:t>
      </w:r>
      <w:r w:rsidRPr="00FB60E9">
        <w:t>.</w:t>
      </w:r>
      <w:proofErr w:type="gramEnd"/>
      <w:r w:rsidRPr="00FB60E9">
        <w:t xml:space="preserve"> </w:t>
      </w:r>
      <w:r>
        <w:t xml:space="preserve">Wellington: Ministry of Health. </w:t>
      </w:r>
      <w:r w:rsidRPr="00FB60E9">
        <w:t>URL</w:t>
      </w:r>
      <w:r>
        <w:t>:</w:t>
      </w:r>
      <w:r w:rsidRPr="00FB60E9">
        <w:t xml:space="preserve"> </w:t>
      </w:r>
      <w:hyperlink r:id="rId46" w:history="1">
        <w:r w:rsidRPr="00FB60E9">
          <w:rPr>
            <w:rStyle w:val="Hyperlink"/>
          </w:rPr>
          <w:t>www.health.govt.nz/system/files/documents/publications/improving-the-system-toolkit-for-dhbs.pdf</w:t>
        </w:r>
      </w:hyperlink>
    </w:p>
    <w:p w:rsidR="00E24D23" w:rsidRPr="000759DB" w:rsidRDefault="00E24D23" w:rsidP="00C87D69">
      <w:pPr>
        <w:pStyle w:val="References"/>
      </w:pPr>
      <w:proofErr w:type="gramStart"/>
      <w:r>
        <w:t>Ministry of Health.</w:t>
      </w:r>
      <w:proofErr w:type="gramEnd"/>
      <w:r>
        <w:t xml:space="preserve"> 2014. </w:t>
      </w:r>
      <w:r w:rsidRPr="00821865">
        <w:t>National Patient Flow Phase 1.</w:t>
      </w:r>
      <w:r>
        <w:t xml:space="preserve"> URL:</w:t>
      </w:r>
      <w:r w:rsidRPr="00462295">
        <w:t xml:space="preserve"> </w:t>
      </w:r>
      <w:hyperlink r:id="rId47" w:history="1">
        <w:r w:rsidRPr="00821865">
          <w:rPr>
            <w:rStyle w:val="Hyperlink"/>
          </w:rPr>
          <w:t>www.health.govt.nz/national-patient-flow-phase-1</w:t>
        </w:r>
      </w:hyperlink>
    </w:p>
    <w:p w:rsidR="00E24D23" w:rsidRDefault="00E24D23" w:rsidP="00C87D69">
      <w:pPr>
        <w:pStyle w:val="References"/>
      </w:pPr>
      <w:proofErr w:type="gramStart"/>
      <w:r>
        <w:t>NZGG</w:t>
      </w:r>
      <w:r w:rsidRPr="000759DB">
        <w:t>.</w:t>
      </w:r>
      <w:proofErr w:type="gramEnd"/>
      <w:r w:rsidRPr="000759DB">
        <w:t xml:space="preserve"> 2009. </w:t>
      </w:r>
      <w:r w:rsidRPr="00D43ECE">
        <w:rPr>
          <w:i/>
        </w:rPr>
        <w:t>Suspected Cancer in Primary Care</w:t>
      </w:r>
      <w:r>
        <w:rPr>
          <w:i/>
        </w:rPr>
        <w:t>:</w:t>
      </w:r>
      <w:r w:rsidRPr="00D43ECE">
        <w:rPr>
          <w:i/>
        </w:rPr>
        <w:t xml:space="preserve"> Guidelines for investigation, referral and reducing ethnic disparities</w:t>
      </w:r>
      <w:r>
        <w:t xml:space="preserve">. Wellington: New Zealand Guidelines Group. URL: </w:t>
      </w:r>
      <w:hyperlink r:id="rId48" w:history="1">
        <w:r w:rsidRPr="004E4604">
          <w:rPr>
            <w:rStyle w:val="Hyperlink"/>
          </w:rPr>
          <w:t>www.health.govt.nz/publication/suspected-cancer-primary-care-guidelines-investigation-referral-and-reducing-ethnic-disparities</w:t>
        </w:r>
      </w:hyperlink>
    </w:p>
    <w:p w:rsidR="00E24D23" w:rsidRDefault="00E24D23" w:rsidP="00C87D69">
      <w:pPr>
        <w:pStyle w:val="References"/>
      </w:pPr>
      <w:proofErr w:type="gramStart"/>
      <w:r>
        <w:t>Royal Australasian and New Zealand College of Radiologists.</w:t>
      </w:r>
      <w:proofErr w:type="gramEnd"/>
      <w:r>
        <w:t xml:space="preserve"> 2013. </w:t>
      </w:r>
      <w:r w:rsidRPr="009337F8">
        <w:rPr>
          <w:i/>
        </w:rPr>
        <w:t>Radiation Oncology Practice Standards for New Zealand</w:t>
      </w:r>
      <w:r w:rsidRPr="00FB60E9">
        <w:t>.</w:t>
      </w:r>
      <w:r>
        <w:t xml:space="preserve"> Wellington: Royal Australasian and New Zealand College of Radiologists.</w:t>
      </w:r>
      <w:r w:rsidRPr="009337F8">
        <w:rPr>
          <w:i/>
        </w:rPr>
        <w:t xml:space="preserve"> </w:t>
      </w:r>
      <w:r>
        <w:t xml:space="preserve">URL: </w:t>
      </w:r>
      <w:hyperlink r:id="rId49" w:history="1">
        <w:r w:rsidRPr="00B4133C">
          <w:rPr>
            <w:rStyle w:val="Hyperlink"/>
          </w:rPr>
          <w:t>www.ranzcr.edu.au/quality-a-safety/radiation-oncology/tripartite-radiation-oncology-practice-standards</w:t>
        </w:r>
      </w:hyperlink>
    </w:p>
    <w:p w:rsidR="00E24D23" w:rsidRPr="002D59EA" w:rsidRDefault="00E24D23" w:rsidP="007F4F59">
      <w:pPr>
        <w:pStyle w:val="Heading3"/>
      </w:pPr>
      <w:r w:rsidRPr="002D59EA">
        <w:t>Investigations, diagnosis and staging</w:t>
      </w:r>
    </w:p>
    <w:p w:rsidR="00E24D23" w:rsidRPr="000759DB" w:rsidRDefault="00E24D23" w:rsidP="00C87D69">
      <w:pPr>
        <w:pStyle w:val="References"/>
      </w:pPr>
      <w:proofErr w:type="gramStart"/>
      <w:r>
        <w:t>BTS</w:t>
      </w:r>
      <w:r w:rsidRPr="00AE7D71">
        <w:t xml:space="preserve"> and the Society for Cardiothoracic Surgery in Great Britain and Ireland</w:t>
      </w:r>
      <w:r w:rsidRPr="00AE7D71">
        <w:rPr>
          <w:i/>
        </w:rPr>
        <w:t>.</w:t>
      </w:r>
      <w:proofErr w:type="gramEnd"/>
      <w:r w:rsidRPr="000759DB">
        <w:t xml:space="preserve"> 2010. </w:t>
      </w:r>
      <w:r w:rsidRPr="00AE7D71">
        <w:rPr>
          <w:i/>
        </w:rPr>
        <w:t xml:space="preserve">Guidelines on the </w:t>
      </w:r>
      <w:r>
        <w:rPr>
          <w:i/>
        </w:rPr>
        <w:t>R</w:t>
      </w:r>
      <w:r w:rsidRPr="00AE7D71">
        <w:rPr>
          <w:i/>
        </w:rPr>
        <w:t xml:space="preserve">adical </w:t>
      </w:r>
      <w:r>
        <w:rPr>
          <w:i/>
        </w:rPr>
        <w:t>M</w:t>
      </w:r>
      <w:r w:rsidRPr="00AE7D71">
        <w:rPr>
          <w:i/>
        </w:rPr>
        <w:t xml:space="preserve">anagement of </w:t>
      </w:r>
      <w:r>
        <w:rPr>
          <w:i/>
        </w:rPr>
        <w:t>P</w:t>
      </w:r>
      <w:r w:rsidRPr="00AE7D71">
        <w:rPr>
          <w:i/>
        </w:rPr>
        <w:t xml:space="preserve">atients with </w:t>
      </w:r>
      <w:r>
        <w:rPr>
          <w:i/>
        </w:rPr>
        <w:t>L</w:t>
      </w:r>
      <w:r w:rsidRPr="00AE7D71">
        <w:rPr>
          <w:i/>
        </w:rPr>
        <w:t xml:space="preserve">ung </w:t>
      </w:r>
      <w:r>
        <w:rPr>
          <w:i/>
        </w:rPr>
        <w:t>C</w:t>
      </w:r>
      <w:r w:rsidRPr="00AE7D71">
        <w:rPr>
          <w:i/>
        </w:rPr>
        <w:t>ancer</w:t>
      </w:r>
      <w:r w:rsidRPr="00FB60E9">
        <w:t>.</w:t>
      </w:r>
      <w:r w:rsidRPr="000759DB">
        <w:t xml:space="preserve"> </w:t>
      </w:r>
      <w:r>
        <w:t xml:space="preserve">London: British Thoracic Society </w:t>
      </w:r>
      <w:r w:rsidRPr="00AE7D71">
        <w:t>and the Society for Cardiothoracic Surgery in Great Britain and Ireland</w:t>
      </w:r>
      <w:r w:rsidRPr="00AE7D71">
        <w:rPr>
          <w:i/>
        </w:rPr>
        <w:t>.</w:t>
      </w:r>
      <w:r w:rsidRPr="000759DB">
        <w:t xml:space="preserve"> </w:t>
      </w:r>
      <w:r>
        <w:t xml:space="preserve">URL: </w:t>
      </w:r>
      <w:hyperlink r:id="rId50" w:history="1">
        <w:r w:rsidRPr="00D96419">
          <w:rPr>
            <w:rStyle w:val="Hyperlink"/>
          </w:rPr>
          <w:t>www.brit-thoracic.org.uk/document-library/clinical-information/lung-cancer/lung-cancer-guidelines/btsscts-guidelines-on-the-radical-management-of-patients-with-lung-cancer/</w:t>
        </w:r>
      </w:hyperlink>
    </w:p>
    <w:p w:rsidR="002D59EA" w:rsidRPr="00877491" w:rsidRDefault="00E24D23" w:rsidP="00C87D69">
      <w:pPr>
        <w:pStyle w:val="References"/>
      </w:pPr>
      <w:proofErr w:type="gramStart"/>
      <w:r w:rsidRPr="00877491">
        <w:t>College of American Pathologists, International Association for the Study of Lung Cancer, and Association for Molecular Pathology</w:t>
      </w:r>
      <w:r>
        <w:t>.</w:t>
      </w:r>
      <w:proofErr w:type="gramEnd"/>
      <w:r w:rsidRPr="00877491">
        <w:t xml:space="preserve"> 2013. </w:t>
      </w:r>
      <w:r>
        <w:t>Molecular</w:t>
      </w:r>
      <w:r w:rsidRPr="00877491">
        <w:t xml:space="preserve"> Testing Guideline for Selection of Lung Cancer Patients for EGFR and ALK Tyrosine Kinase Inhibitors</w:t>
      </w:r>
      <w:r>
        <w:t>.</w:t>
      </w:r>
      <w:r w:rsidRPr="00877491">
        <w:t xml:space="preserve"> </w:t>
      </w:r>
      <w:r w:rsidRPr="008E402B">
        <w:rPr>
          <w:i/>
        </w:rPr>
        <w:t>Archives of Pathology and Laboratory Medicine</w:t>
      </w:r>
      <w:r w:rsidRPr="00877491">
        <w:t xml:space="preserve"> 137: 828</w:t>
      </w:r>
      <w:r>
        <w:t>–</w:t>
      </w:r>
      <w:r w:rsidRPr="00877491">
        <w:t>60</w:t>
      </w:r>
      <w:r>
        <w:t>.</w:t>
      </w:r>
    </w:p>
    <w:p w:rsidR="002D0608" w:rsidRDefault="00E24D23" w:rsidP="00C87D69">
      <w:pPr>
        <w:pStyle w:val="References"/>
        <w:rPr>
          <w:color w:val="666666"/>
        </w:rPr>
      </w:pPr>
      <w:r>
        <w:t>NICE</w:t>
      </w:r>
      <w:r w:rsidRPr="00375AC8">
        <w:t>. 2011.</w:t>
      </w:r>
      <w:r w:rsidRPr="00C50ADB">
        <w:rPr>
          <w:i/>
        </w:rPr>
        <w:t xml:space="preserve"> </w:t>
      </w:r>
      <w:r>
        <w:rPr>
          <w:i/>
        </w:rPr>
        <w:t>Lung cancer:</w:t>
      </w:r>
      <w:r w:rsidRPr="00C50ADB">
        <w:rPr>
          <w:i/>
        </w:rPr>
        <w:t xml:space="preserve"> The diagnosis and treatment of lung cancer</w:t>
      </w:r>
      <w:r w:rsidRPr="00FB60E9">
        <w:t>.</w:t>
      </w:r>
      <w:r>
        <w:rPr>
          <w:i/>
        </w:rPr>
        <w:t xml:space="preserve"> </w:t>
      </w:r>
      <w:r>
        <w:t>London: National Institute for Health and Clinical Excellence. URL:</w:t>
      </w:r>
      <w:r>
        <w:rPr>
          <w:i/>
          <w:szCs w:val="22"/>
        </w:rPr>
        <w:t xml:space="preserve"> </w:t>
      </w:r>
      <w:hyperlink r:id="rId51" w:history="1">
        <w:r w:rsidRPr="00280CC1">
          <w:rPr>
            <w:rStyle w:val="Hyperlink"/>
            <w:szCs w:val="22"/>
          </w:rPr>
          <w:t>www.</w:t>
        </w:r>
        <w:r w:rsidRPr="00280CC1">
          <w:rPr>
            <w:rStyle w:val="Hyperlink"/>
            <w:bCs/>
            <w:szCs w:val="22"/>
          </w:rPr>
          <w:t>nice</w:t>
        </w:r>
        <w:r w:rsidRPr="00280CC1">
          <w:rPr>
            <w:rStyle w:val="Hyperlink"/>
            <w:szCs w:val="22"/>
          </w:rPr>
          <w:t>.</w:t>
        </w:r>
        <w:r w:rsidRPr="00280CC1">
          <w:rPr>
            <w:rStyle w:val="Hyperlink"/>
            <w:bCs/>
            <w:szCs w:val="22"/>
          </w:rPr>
          <w:t>org</w:t>
        </w:r>
        <w:r w:rsidRPr="00280CC1">
          <w:rPr>
            <w:rStyle w:val="Hyperlink"/>
            <w:szCs w:val="22"/>
          </w:rPr>
          <w:t>.</w:t>
        </w:r>
        <w:r w:rsidRPr="00280CC1">
          <w:rPr>
            <w:rStyle w:val="Hyperlink"/>
            <w:bCs/>
            <w:szCs w:val="22"/>
          </w:rPr>
          <w:t>uk</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cg121</w:t>
        </w:r>
        <w:r w:rsidRPr="00280CC1">
          <w:rPr>
            <w:rStyle w:val="Hyperlink"/>
            <w:szCs w:val="22"/>
          </w:rPr>
          <w:t>/</w:t>
        </w:r>
        <w:r w:rsidRPr="00280CC1">
          <w:rPr>
            <w:rStyle w:val="Hyperlink"/>
            <w:bCs/>
            <w:szCs w:val="22"/>
          </w:rPr>
          <w:t>resources</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lung</w:t>
        </w:r>
        <w:r w:rsidRPr="00280CC1">
          <w:rPr>
            <w:rStyle w:val="Hyperlink"/>
            <w:szCs w:val="22"/>
          </w:rPr>
          <w:t>-</w:t>
        </w:r>
        <w:r w:rsidRPr="00280CC1">
          <w:rPr>
            <w:rStyle w:val="Hyperlink"/>
            <w:bCs/>
            <w:szCs w:val="22"/>
          </w:rPr>
          <w:t>cancer</w:t>
        </w:r>
        <w:r w:rsidRPr="00280CC1">
          <w:rPr>
            <w:rStyle w:val="Hyperlink"/>
            <w:szCs w:val="22"/>
          </w:rPr>
          <w:t>-</w:t>
        </w:r>
        <w:r w:rsidRPr="00280CC1">
          <w:rPr>
            <w:rStyle w:val="Hyperlink"/>
            <w:bCs/>
            <w:szCs w:val="22"/>
          </w:rPr>
          <w:t>pdf</w:t>
        </w:r>
      </w:hyperlink>
    </w:p>
    <w:p w:rsidR="00023F13" w:rsidRPr="00D4376B" w:rsidRDefault="00E24D23" w:rsidP="007F4F59">
      <w:pPr>
        <w:pStyle w:val="Heading3"/>
      </w:pPr>
      <w:r w:rsidRPr="00D4376B">
        <w:lastRenderedPageBreak/>
        <w:t>Multidisciplinary care</w:t>
      </w:r>
    </w:p>
    <w:p w:rsidR="002D0608" w:rsidRDefault="00023F13" w:rsidP="00C87D69">
      <w:pPr>
        <w:pStyle w:val="References"/>
      </w:pPr>
      <w:proofErr w:type="gramStart"/>
      <w:r w:rsidRPr="00DE19C2">
        <w:rPr>
          <w:szCs w:val="22"/>
          <w:lang w:val="en"/>
        </w:rPr>
        <w:t>Ministry of Health.</w:t>
      </w:r>
      <w:proofErr w:type="gramEnd"/>
      <w:r w:rsidRPr="00DE19C2">
        <w:rPr>
          <w:szCs w:val="22"/>
          <w:lang w:val="en"/>
        </w:rPr>
        <w:t xml:space="preserve"> 2012. </w:t>
      </w:r>
      <w:r w:rsidRPr="00DE19C2">
        <w:rPr>
          <w:i/>
          <w:szCs w:val="22"/>
          <w:lang w:val="en"/>
        </w:rPr>
        <w:t xml:space="preserve">Guidance for </w:t>
      </w:r>
      <w:r>
        <w:rPr>
          <w:i/>
          <w:szCs w:val="22"/>
          <w:lang w:val="en"/>
        </w:rPr>
        <w:t>I</w:t>
      </w:r>
      <w:r w:rsidRPr="00DE19C2">
        <w:rPr>
          <w:i/>
          <w:szCs w:val="22"/>
          <w:lang w:val="en"/>
        </w:rPr>
        <w:t xml:space="preserve">mplementing </w:t>
      </w:r>
      <w:r>
        <w:rPr>
          <w:i/>
          <w:szCs w:val="22"/>
          <w:lang w:val="en"/>
        </w:rPr>
        <w:t>H</w:t>
      </w:r>
      <w:r w:rsidRPr="00DE19C2">
        <w:rPr>
          <w:i/>
          <w:szCs w:val="22"/>
          <w:lang w:val="en"/>
        </w:rPr>
        <w:t>igh-</w:t>
      </w:r>
      <w:r>
        <w:rPr>
          <w:i/>
          <w:szCs w:val="22"/>
          <w:lang w:val="en"/>
        </w:rPr>
        <w:t>Q</w:t>
      </w:r>
      <w:r w:rsidRPr="00DE19C2">
        <w:rPr>
          <w:i/>
          <w:szCs w:val="22"/>
          <w:lang w:val="en"/>
        </w:rPr>
        <w:t xml:space="preserve">uality </w:t>
      </w:r>
      <w:r>
        <w:rPr>
          <w:i/>
          <w:szCs w:val="22"/>
          <w:lang w:val="en"/>
        </w:rPr>
        <w:t>M</w:t>
      </w:r>
      <w:r w:rsidRPr="00DE19C2">
        <w:rPr>
          <w:i/>
          <w:szCs w:val="22"/>
          <w:lang w:val="en"/>
        </w:rPr>
        <w:t xml:space="preserve">ultidisciplinary </w:t>
      </w:r>
      <w:r>
        <w:rPr>
          <w:i/>
          <w:szCs w:val="22"/>
          <w:lang w:val="en"/>
        </w:rPr>
        <w:t>M</w:t>
      </w:r>
      <w:r w:rsidRPr="00DE19C2">
        <w:rPr>
          <w:i/>
          <w:szCs w:val="22"/>
          <w:lang w:val="en"/>
        </w:rPr>
        <w:t>eetings</w:t>
      </w:r>
      <w:r w:rsidRPr="00DE19C2">
        <w:rPr>
          <w:szCs w:val="22"/>
        </w:rPr>
        <w:t>.</w:t>
      </w:r>
      <w:r>
        <w:rPr>
          <w:szCs w:val="22"/>
        </w:rPr>
        <w:t xml:space="preserve"> Wellington: Ministry of Health. URL: </w:t>
      </w:r>
      <w:hyperlink r:id="rId52" w:history="1">
        <w:r w:rsidRPr="00273879">
          <w:rPr>
            <w:rStyle w:val="Hyperlink"/>
          </w:rPr>
          <w:t>www.health.govt.nz/publication/guidance-implementing-high-quality-multidisciplinary-meetings</w:t>
        </w:r>
      </w:hyperlink>
    </w:p>
    <w:p w:rsidR="00D4376B" w:rsidRDefault="00023F13" w:rsidP="00C87D69">
      <w:pPr>
        <w:pStyle w:val="References"/>
      </w:pPr>
      <w:proofErr w:type="gramStart"/>
      <w:r w:rsidRPr="000759DB">
        <w:t>NHS National Cancer Action Team.</w:t>
      </w:r>
      <w:proofErr w:type="gramEnd"/>
      <w:r w:rsidRPr="000759DB">
        <w:t xml:space="preserve"> 2010. </w:t>
      </w:r>
      <w:r w:rsidRPr="00C50ADB">
        <w:rPr>
          <w:i/>
        </w:rPr>
        <w:t>The Characteristics of an Effective Multidisciplinary Team</w:t>
      </w:r>
      <w:r w:rsidRPr="000759DB">
        <w:t xml:space="preserve">. </w:t>
      </w:r>
      <w:r>
        <w:t xml:space="preserve">London: National Health Service </w:t>
      </w:r>
      <w:r w:rsidRPr="000759DB">
        <w:t>National Cancer Action Team</w:t>
      </w:r>
      <w:r>
        <w:t xml:space="preserve">. URL: </w:t>
      </w:r>
      <w:hyperlink r:id="rId53" w:history="1">
        <w:r w:rsidRPr="00273879">
          <w:rPr>
            <w:rStyle w:val="Hyperlink"/>
          </w:rPr>
          <w:t>www.cancerni.net/files/NCAT_MDT_Characteristics_FINAL.pdf</w:t>
        </w:r>
      </w:hyperlink>
    </w:p>
    <w:p w:rsidR="00D4376B" w:rsidRDefault="00D4376B" w:rsidP="00C87D69">
      <w:pPr>
        <w:pStyle w:val="References"/>
      </w:pPr>
      <w:proofErr w:type="gramStart"/>
      <w:r>
        <w:t>Ministry of Health.</w:t>
      </w:r>
      <w:proofErr w:type="gramEnd"/>
      <w:r>
        <w:t xml:space="preserve"> 2014. </w:t>
      </w:r>
      <w:r w:rsidRPr="00FB60E9">
        <w:rPr>
          <w:i/>
        </w:rPr>
        <w:t>Lung Cancer M</w:t>
      </w:r>
      <w:r>
        <w:rPr>
          <w:i/>
        </w:rPr>
        <w:t>ultidisciplinary Meeting</w:t>
      </w:r>
      <w:r w:rsidRPr="00FB60E9">
        <w:rPr>
          <w:i/>
        </w:rPr>
        <w:t xml:space="preserve"> Toolkit</w:t>
      </w:r>
      <w:r>
        <w:t xml:space="preserve">. Wellington: Ministry of Health. URL: </w:t>
      </w:r>
      <w:hyperlink r:id="rId54" w:history="1">
        <w:r w:rsidRPr="004A69F2">
          <w:rPr>
            <w:rStyle w:val="Hyperlink"/>
          </w:rPr>
          <w:t>http://www.health.govt.nz/publication/lung-cancer-multidisciplinary-meeting-toolkit</w:t>
        </w:r>
      </w:hyperlink>
    </w:p>
    <w:p w:rsidR="00E24D23" w:rsidRPr="00D4376B" w:rsidRDefault="00023F13" w:rsidP="007F4F59">
      <w:pPr>
        <w:pStyle w:val="Heading3"/>
      </w:pPr>
      <w:r w:rsidRPr="00D4376B">
        <w:t>Supportive care</w:t>
      </w:r>
    </w:p>
    <w:p w:rsidR="002D0608" w:rsidRDefault="00023F13" w:rsidP="00C87D69">
      <w:pPr>
        <w:pStyle w:val="References"/>
      </w:pPr>
      <w:proofErr w:type="gramStart"/>
      <w:r w:rsidRPr="00AF13A0">
        <w:rPr>
          <w:shd w:val="clear" w:color="auto" w:fill="FFFFFF"/>
        </w:rPr>
        <w:t>Ministry of Health.</w:t>
      </w:r>
      <w:proofErr w:type="gramEnd"/>
      <w:r w:rsidRPr="00AF13A0">
        <w:rPr>
          <w:shd w:val="clear" w:color="auto" w:fill="FFFFFF"/>
        </w:rPr>
        <w:t xml:space="preserve"> 2010. </w:t>
      </w:r>
      <w:r w:rsidRPr="00AF13A0">
        <w:rPr>
          <w:i/>
          <w:shd w:val="clear" w:color="auto" w:fill="FFFFFF"/>
        </w:rPr>
        <w:t>Guidance for Improving Supportive Care for Adults with Cancer in New Zealand</w:t>
      </w:r>
      <w:r w:rsidRPr="00AF13A0">
        <w:rPr>
          <w:shd w:val="clear" w:color="auto" w:fill="FFFFFF"/>
        </w:rPr>
        <w:t xml:space="preserve">. Wellington: Ministry of Health. URL: </w:t>
      </w:r>
      <w:hyperlink r:id="rId55" w:history="1">
        <w:r w:rsidRPr="00AF13A0">
          <w:rPr>
            <w:rStyle w:val="Hyperlink"/>
            <w:shd w:val="clear" w:color="auto" w:fill="FFFFFF"/>
          </w:rPr>
          <w:t>www.health.govt.nz/publication/guidance-improving-supportive-care-adults-cancer-new-zealand</w:t>
        </w:r>
      </w:hyperlink>
    </w:p>
    <w:p w:rsidR="00023F13" w:rsidRPr="00D4376B" w:rsidRDefault="00023F13" w:rsidP="007F4F59">
      <w:pPr>
        <w:pStyle w:val="Heading3"/>
      </w:pPr>
      <w:r w:rsidRPr="00D4376B">
        <w:t>Care coordination</w:t>
      </w:r>
    </w:p>
    <w:p w:rsidR="002D0608" w:rsidRDefault="00023F13" w:rsidP="00C87D69">
      <w:pPr>
        <w:pStyle w:val="References"/>
      </w:pPr>
      <w:proofErr w:type="gramStart"/>
      <w:r w:rsidRPr="00A16C5B">
        <w:t>Ministry of Health.</w:t>
      </w:r>
      <w:proofErr w:type="gramEnd"/>
      <w:r w:rsidRPr="00A16C5B">
        <w:t xml:space="preserve"> 2001. </w:t>
      </w:r>
      <w:r w:rsidRPr="00A16C5B">
        <w:rPr>
          <w:i/>
        </w:rPr>
        <w:t>The New Zealand Palliative Care Strategy</w:t>
      </w:r>
      <w:r w:rsidRPr="00A16C5B">
        <w:t xml:space="preserve">. </w:t>
      </w:r>
      <w:r>
        <w:t xml:space="preserve">Wellington: Ministry of Health. </w:t>
      </w:r>
      <w:r w:rsidRPr="00A16C5B">
        <w:t>URL:</w:t>
      </w:r>
      <w:r>
        <w:t xml:space="preserve"> </w:t>
      </w:r>
      <w:hyperlink r:id="rId56" w:history="1">
        <w:r w:rsidRPr="00F83B02">
          <w:rPr>
            <w:rStyle w:val="Hyperlink"/>
          </w:rPr>
          <w:t>www.health.govt.nz/system/files/documents/publications/palliativecarestrategy.pdf</w:t>
        </w:r>
      </w:hyperlink>
    </w:p>
    <w:p w:rsidR="00023F13" w:rsidRPr="000759DB" w:rsidRDefault="00023F13" w:rsidP="00C87D69">
      <w:pPr>
        <w:pStyle w:val="References"/>
      </w:pPr>
      <w:proofErr w:type="gramStart"/>
      <w:r w:rsidRPr="001856FC">
        <w:t>Ministry of Health.</w:t>
      </w:r>
      <w:proofErr w:type="gramEnd"/>
      <w:r w:rsidRPr="001856FC">
        <w:t xml:space="preserve"> 2011. </w:t>
      </w:r>
      <w:r w:rsidRPr="009337F8">
        <w:rPr>
          <w:i/>
        </w:rPr>
        <w:t>Advance Care Planning: A guide for the New Zealand health care workforce</w:t>
      </w:r>
      <w:r w:rsidRPr="00FB60E9">
        <w:t>.</w:t>
      </w:r>
      <w:r w:rsidRPr="00F83B02">
        <w:t xml:space="preserve"> </w:t>
      </w:r>
      <w:r>
        <w:t xml:space="preserve">Wellington: Ministry of Health. URL: </w:t>
      </w:r>
      <w:hyperlink r:id="rId57" w:history="1">
        <w:r w:rsidRPr="00F83B02">
          <w:rPr>
            <w:rStyle w:val="Hyperlink"/>
          </w:rPr>
          <w:t>www.health.govt.nz/publication/advance-care-planning-guide-new-zealand-health-care-workforce</w:t>
        </w:r>
      </w:hyperlink>
    </w:p>
    <w:p w:rsidR="00023F13" w:rsidRDefault="00023F13" w:rsidP="00C87D69">
      <w:pPr>
        <w:pStyle w:val="References"/>
      </w:pPr>
      <w:proofErr w:type="gramStart"/>
      <w:r w:rsidRPr="00316F92">
        <w:t>Ministry of Health.</w:t>
      </w:r>
      <w:proofErr w:type="gramEnd"/>
      <w:r w:rsidRPr="00316F92">
        <w:t xml:space="preserve"> 2013. </w:t>
      </w:r>
      <w:r w:rsidRPr="00613697">
        <w:t>Patient pathway coordination</w:t>
      </w:r>
      <w:r w:rsidRPr="00F83B02">
        <w:t>.</w:t>
      </w:r>
      <w:r w:rsidR="002D0608">
        <w:t xml:space="preserve"> </w:t>
      </w:r>
      <w:r>
        <w:t xml:space="preserve">URL: </w:t>
      </w:r>
      <w:hyperlink r:id="rId58" w:history="1">
        <w:r w:rsidRPr="00F83B02">
          <w:rPr>
            <w:rStyle w:val="Hyperlink"/>
          </w:rPr>
          <w:t>www.health.govt.nz/our-work/diseases-and-conditions/cancer-programme/faster-cancer-treatment-programme/patient-pathway-coordination</w:t>
        </w:r>
      </w:hyperlink>
    </w:p>
    <w:p w:rsidR="00023F13" w:rsidRDefault="00023F13" w:rsidP="00C87D69">
      <w:pPr>
        <w:pStyle w:val="References"/>
      </w:pPr>
      <w:proofErr w:type="gramStart"/>
      <w:r w:rsidRPr="00D70689">
        <w:t>Ministry of Health.</w:t>
      </w:r>
      <w:proofErr w:type="gramEnd"/>
      <w:r w:rsidRPr="00D70689">
        <w:t xml:space="preserve"> 2013. </w:t>
      </w:r>
      <w:r w:rsidRPr="009337F8">
        <w:rPr>
          <w:i/>
        </w:rPr>
        <w:t>Resource and Capability Framework for Integrated Adult Palliative Care Services in New Zealand</w:t>
      </w:r>
      <w:r>
        <w:t xml:space="preserve">. Wellington: Ministry of Health. URL: </w:t>
      </w:r>
      <w:hyperlink r:id="rId59" w:history="1">
        <w:r w:rsidRPr="00F83B02">
          <w:rPr>
            <w:rStyle w:val="Hyperlink"/>
          </w:rPr>
          <w:t>www.health.govt.nz/publication/resource-and-capability-framework-integrated-adult-palliative-care-services-new-zealand</w:t>
        </w:r>
      </w:hyperlink>
    </w:p>
    <w:p w:rsidR="00023F13" w:rsidRPr="000759DB" w:rsidRDefault="00023F13" w:rsidP="00C87D69">
      <w:pPr>
        <w:pStyle w:val="References"/>
      </w:pPr>
      <w:proofErr w:type="gramStart"/>
      <w:r>
        <w:t>Ministry of Health.</w:t>
      </w:r>
      <w:proofErr w:type="gramEnd"/>
      <w:r>
        <w:t xml:space="preserve"> 2014. </w:t>
      </w:r>
      <w:r w:rsidRPr="009337F8">
        <w:rPr>
          <w:i/>
        </w:rPr>
        <w:t>Evaluation of the Cancer Nurse Coordinator Initiative Annual Report</w:t>
      </w:r>
      <w:r>
        <w:t xml:space="preserve">. Wellington: Ministry of Health. URL: </w:t>
      </w:r>
      <w:hyperlink r:id="rId60" w:history="1">
        <w:r w:rsidRPr="00F83B02">
          <w:rPr>
            <w:rStyle w:val="Hyperlink"/>
          </w:rPr>
          <w:t>www.health.govt.nz/publication/evaluation-cancer-nurse-coordinator-initiative-annual-report-2014</w:t>
        </w:r>
      </w:hyperlink>
    </w:p>
    <w:p w:rsidR="00023F13" w:rsidRPr="00D4376B" w:rsidRDefault="00023F13" w:rsidP="007F4F59">
      <w:pPr>
        <w:pStyle w:val="Heading3"/>
      </w:pPr>
      <w:r w:rsidRPr="00D4376B">
        <w:t>Treatment</w:t>
      </w:r>
    </w:p>
    <w:p w:rsidR="002D0608" w:rsidRDefault="00023F13" w:rsidP="00C87D69">
      <w:pPr>
        <w:pStyle w:val="References"/>
      </w:pPr>
      <w:proofErr w:type="gramStart"/>
      <w:r>
        <w:t xml:space="preserve">AGNHMRC </w:t>
      </w:r>
      <w:r w:rsidRPr="000759DB">
        <w:t xml:space="preserve">and </w:t>
      </w:r>
      <w:r>
        <w:t>ANC</w:t>
      </w:r>
      <w:r w:rsidRPr="000759DB">
        <w:t>. 2004.</w:t>
      </w:r>
      <w:proofErr w:type="gramEnd"/>
      <w:r w:rsidRPr="000759DB">
        <w:t xml:space="preserve"> </w:t>
      </w:r>
      <w:proofErr w:type="gramStart"/>
      <w:r w:rsidRPr="00B96EBA">
        <w:rPr>
          <w:i/>
        </w:rPr>
        <w:t xml:space="preserve">Clinical Practice Guidelines </w:t>
      </w:r>
      <w:r>
        <w:rPr>
          <w:i/>
        </w:rPr>
        <w:t>f</w:t>
      </w:r>
      <w:r w:rsidRPr="00B96EBA">
        <w:rPr>
          <w:i/>
        </w:rPr>
        <w:t xml:space="preserve">or </w:t>
      </w:r>
      <w:r>
        <w:rPr>
          <w:i/>
        </w:rPr>
        <w:t>t</w:t>
      </w:r>
      <w:r w:rsidRPr="00B96EBA">
        <w:rPr>
          <w:i/>
        </w:rPr>
        <w:t>he Prevention, Diagnosis and Management of Lung Cancer</w:t>
      </w:r>
      <w:r w:rsidRPr="000759DB">
        <w:t>.</w:t>
      </w:r>
      <w:proofErr w:type="gramEnd"/>
      <w:r w:rsidRPr="000759DB">
        <w:t xml:space="preserve"> </w:t>
      </w:r>
      <w:proofErr w:type="gramStart"/>
      <w:r>
        <w:t>A</w:t>
      </w:r>
      <w:r w:rsidRPr="000759DB">
        <w:t>ustralian Government National Health and Medical Research Council and Australian Cancer Network.</w:t>
      </w:r>
      <w:proofErr w:type="gramEnd"/>
      <w:r w:rsidRPr="000759DB">
        <w:t xml:space="preserve"> </w:t>
      </w:r>
      <w:r>
        <w:t xml:space="preserve">URL: </w:t>
      </w:r>
      <w:hyperlink r:id="rId61" w:history="1">
        <w:r w:rsidRPr="00945732">
          <w:rPr>
            <w:rStyle w:val="Hyperlink"/>
          </w:rPr>
          <w:t>www.nhmrc.gov.au/_files_nhmrc/file/publications/synopses/cp97.pdf</w:t>
        </w:r>
      </w:hyperlink>
    </w:p>
    <w:p w:rsidR="00023F13" w:rsidRDefault="00023F13" w:rsidP="007F4F59">
      <w:pPr>
        <w:pStyle w:val="References"/>
        <w:keepLines/>
      </w:pPr>
      <w:proofErr w:type="gramStart"/>
      <w:r>
        <w:lastRenderedPageBreak/>
        <w:t xml:space="preserve">BTS </w:t>
      </w:r>
      <w:r w:rsidRPr="00AE7D71">
        <w:t>and the Society for Cardiothoracic Surgery in Great Britain and Ireland</w:t>
      </w:r>
      <w:r w:rsidRPr="00AE7D71">
        <w:rPr>
          <w:i/>
        </w:rPr>
        <w:t>.</w:t>
      </w:r>
      <w:proofErr w:type="gramEnd"/>
      <w:r w:rsidRPr="000759DB">
        <w:t xml:space="preserve"> 2010. </w:t>
      </w:r>
      <w:r w:rsidRPr="00AE7D71">
        <w:rPr>
          <w:i/>
        </w:rPr>
        <w:t xml:space="preserve">Guidelines on the </w:t>
      </w:r>
      <w:r>
        <w:rPr>
          <w:i/>
        </w:rPr>
        <w:t>R</w:t>
      </w:r>
      <w:r w:rsidRPr="00AE7D71">
        <w:rPr>
          <w:i/>
        </w:rPr>
        <w:t xml:space="preserve">adical </w:t>
      </w:r>
      <w:r>
        <w:rPr>
          <w:i/>
        </w:rPr>
        <w:t>M</w:t>
      </w:r>
      <w:r w:rsidRPr="00AE7D71">
        <w:rPr>
          <w:i/>
        </w:rPr>
        <w:t xml:space="preserve">anagement of </w:t>
      </w:r>
      <w:r>
        <w:rPr>
          <w:i/>
        </w:rPr>
        <w:t>P</w:t>
      </w:r>
      <w:r w:rsidRPr="00AE7D71">
        <w:rPr>
          <w:i/>
        </w:rPr>
        <w:t xml:space="preserve">atients with </w:t>
      </w:r>
      <w:r>
        <w:rPr>
          <w:i/>
        </w:rPr>
        <w:t>L</w:t>
      </w:r>
      <w:r w:rsidRPr="00AE7D71">
        <w:rPr>
          <w:i/>
        </w:rPr>
        <w:t xml:space="preserve">ung </w:t>
      </w:r>
      <w:r>
        <w:rPr>
          <w:i/>
        </w:rPr>
        <w:t>C</w:t>
      </w:r>
      <w:r w:rsidRPr="00AE7D71">
        <w:rPr>
          <w:i/>
        </w:rPr>
        <w:t>ancer.</w:t>
      </w:r>
      <w:r w:rsidRPr="000759DB">
        <w:t xml:space="preserve"> </w:t>
      </w:r>
      <w:r>
        <w:t xml:space="preserve">London: British Thoracic Society </w:t>
      </w:r>
      <w:r w:rsidRPr="00AE7D71">
        <w:t>and the Society for Cardiothoracic Surgery in Great Britain and Ireland</w:t>
      </w:r>
      <w:r>
        <w:t xml:space="preserve">. URL: </w:t>
      </w:r>
      <w:hyperlink r:id="rId62" w:history="1">
        <w:r w:rsidRPr="0029260B">
          <w:rPr>
            <w:rStyle w:val="Hyperlink"/>
          </w:rPr>
          <w:t>www.brit-thoracic.org.uk/document-library/clinical-information/lung-cancer/lung-cancer-guidelines/btsscts-guidelines-on-the-radical-management-of-patients-with-lung-cancer/</w:t>
        </w:r>
      </w:hyperlink>
    </w:p>
    <w:p w:rsidR="00023F13" w:rsidRPr="006A69AA" w:rsidRDefault="00023F13" w:rsidP="00C87D69">
      <w:pPr>
        <w:pStyle w:val="References"/>
        <w:rPr>
          <w:color w:val="000000"/>
          <w:szCs w:val="22"/>
        </w:rPr>
      </w:pPr>
      <w:proofErr w:type="gramStart"/>
      <w:r w:rsidRPr="00B93482">
        <w:rPr>
          <w:i/>
          <w:szCs w:val="22"/>
        </w:rPr>
        <w:t>European Respiratory Society and European Society of Thoracic Surgeons.</w:t>
      </w:r>
      <w:proofErr w:type="gramEnd"/>
      <w:r w:rsidRPr="00B93482">
        <w:rPr>
          <w:i/>
          <w:szCs w:val="22"/>
        </w:rPr>
        <w:t xml:space="preserve"> 2009. </w:t>
      </w:r>
      <w:r w:rsidRPr="00B93482">
        <w:rPr>
          <w:szCs w:val="22"/>
        </w:rPr>
        <w:t xml:space="preserve">Clinical Guidelines for Evaluating Fitness for Radical Treatment (Surgery and </w:t>
      </w:r>
      <w:proofErr w:type="spellStart"/>
      <w:r w:rsidRPr="00B93482">
        <w:rPr>
          <w:szCs w:val="22"/>
        </w:rPr>
        <w:t>Chemoradiotherapy</w:t>
      </w:r>
      <w:proofErr w:type="spellEnd"/>
      <w:r w:rsidRPr="00B93482">
        <w:rPr>
          <w:szCs w:val="22"/>
        </w:rPr>
        <w:t>) in Patients with Lung Cancer</w:t>
      </w:r>
      <w:r w:rsidRPr="00B93482">
        <w:rPr>
          <w:i/>
          <w:szCs w:val="22"/>
        </w:rPr>
        <w:t xml:space="preserve">. </w:t>
      </w:r>
      <w:proofErr w:type="spellStart"/>
      <w:r>
        <w:rPr>
          <w:i/>
          <w:szCs w:val="22"/>
        </w:rPr>
        <w:t>Ancona</w:t>
      </w:r>
      <w:proofErr w:type="spellEnd"/>
      <w:r>
        <w:rPr>
          <w:i/>
          <w:szCs w:val="22"/>
        </w:rPr>
        <w:t xml:space="preserve">: </w:t>
      </w:r>
      <w:r w:rsidRPr="00B93482">
        <w:rPr>
          <w:i/>
          <w:szCs w:val="22"/>
        </w:rPr>
        <w:t>European Respiratory Society and European Society of Thoracic Surgeons</w:t>
      </w:r>
      <w:r>
        <w:rPr>
          <w:i/>
          <w:szCs w:val="22"/>
        </w:rPr>
        <w:t>.</w:t>
      </w:r>
      <w:r w:rsidRPr="00B93482">
        <w:rPr>
          <w:i/>
          <w:szCs w:val="22"/>
        </w:rPr>
        <w:t xml:space="preserve"> URL: </w:t>
      </w:r>
      <w:hyperlink r:id="rId63" w:history="1">
        <w:r w:rsidRPr="00945732">
          <w:rPr>
            <w:rStyle w:val="Hyperlink"/>
            <w:szCs w:val="22"/>
          </w:rPr>
          <w:t>www.researchgate.net/publication/26248863_The_European_Respiratory_Society_and_European_Society_of_Thoracic_Surgeons_clinical_guidelines_for_evaluating_fitness_for_radical_treatment_(surgery_and_chemoradiotherapy)_in_patients_with_lung_cancer</w:t>
        </w:r>
      </w:hyperlink>
    </w:p>
    <w:p w:rsidR="00023F13" w:rsidRPr="002D0608" w:rsidRDefault="00F76963" w:rsidP="00C87D69">
      <w:pPr>
        <w:pStyle w:val="References"/>
        <w:rPr>
          <w:color w:val="004080"/>
          <w:szCs w:val="22"/>
        </w:rPr>
      </w:pPr>
      <w:hyperlink w:history="1"/>
      <w:proofErr w:type="spellStart"/>
      <w:r w:rsidR="00023F13" w:rsidRPr="002D0608">
        <w:rPr>
          <w:szCs w:val="22"/>
        </w:rPr>
        <w:t>Goldstraw</w:t>
      </w:r>
      <w:proofErr w:type="spellEnd"/>
      <w:r w:rsidR="00023F13" w:rsidRPr="002D0608">
        <w:rPr>
          <w:szCs w:val="22"/>
        </w:rPr>
        <w:t xml:space="preserve"> P, Crowley JJ, </w:t>
      </w:r>
      <w:proofErr w:type="spellStart"/>
      <w:r w:rsidR="00023F13" w:rsidRPr="002D0608">
        <w:rPr>
          <w:szCs w:val="22"/>
        </w:rPr>
        <w:t>Chansky</w:t>
      </w:r>
      <w:proofErr w:type="spellEnd"/>
      <w:r w:rsidR="00023F13" w:rsidRPr="002D0608">
        <w:rPr>
          <w:szCs w:val="22"/>
        </w:rPr>
        <w:t xml:space="preserve"> K, et al (</w:t>
      </w:r>
      <w:proofErr w:type="spellStart"/>
      <w:proofErr w:type="gramStart"/>
      <w:r w:rsidR="00023F13" w:rsidRPr="002D0608">
        <w:rPr>
          <w:szCs w:val="22"/>
        </w:rPr>
        <w:t>eds</w:t>
      </w:r>
      <w:proofErr w:type="spellEnd"/>
      <w:proofErr w:type="gramEnd"/>
      <w:r w:rsidR="00023F13" w:rsidRPr="002D0608">
        <w:rPr>
          <w:szCs w:val="22"/>
        </w:rPr>
        <w:t xml:space="preserve">). 2009. </w:t>
      </w:r>
      <w:r w:rsidR="00023F13" w:rsidRPr="002D0608">
        <w:rPr>
          <w:i/>
          <w:szCs w:val="22"/>
        </w:rPr>
        <w:t>Staging Manual in Thoracic Oncology</w:t>
      </w:r>
      <w:r w:rsidR="00023F13" w:rsidRPr="002D0608">
        <w:rPr>
          <w:szCs w:val="22"/>
        </w:rPr>
        <w:t>. Aurora: International Association for the Study of Lung Cancer</w:t>
      </w:r>
      <w:r w:rsidR="00023F13" w:rsidRPr="002D0608">
        <w:rPr>
          <w:color w:val="004080"/>
          <w:szCs w:val="22"/>
        </w:rPr>
        <w:t xml:space="preserve">. </w:t>
      </w:r>
      <w:r w:rsidR="00023F13" w:rsidRPr="002D0608">
        <w:rPr>
          <w:szCs w:val="22"/>
        </w:rPr>
        <w:t>URL</w:t>
      </w:r>
      <w:r w:rsidR="00023F13" w:rsidRPr="002D0608">
        <w:rPr>
          <w:color w:val="004080"/>
          <w:szCs w:val="22"/>
        </w:rPr>
        <w:t xml:space="preserve">: </w:t>
      </w:r>
      <w:hyperlink r:id="rId64" w:history="1">
        <w:r w:rsidR="00023F13" w:rsidRPr="002D0608">
          <w:rPr>
            <w:rStyle w:val="Hyperlink"/>
            <w:szCs w:val="22"/>
          </w:rPr>
          <w:t>https://umfiasi2015.files.wordpress.com/2013/03/pulmon-iaslc-manual.pdf</w:t>
        </w:r>
      </w:hyperlink>
    </w:p>
    <w:p w:rsidR="00023F13" w:rsidRPr="001856FC" w:rsidRDefault="00023F13" w:rsidP="00C87D69">
      <w:pPr>
        <w:pStyle w:val="References"/>
      </w:pPr>
      <w:proofErr w:type="gramStart"/>
      <w:r w:rsidRPr="00A16C5B">
        <w:t>Ministry of Health.</w:t>
      </w:r>
      <w:proofErr w:type="gramEnd"/>
      <w:r w:rsidRPr="00A16C5B">
        <w:t xml:space="preserve"> 2001. </w:t>
      </w:r>
      <w:r w:rsidRPr="00A16C5B">
        <w:rPr>
          <w:i/>
        </w:rPr>
        <w:t>The New Zealand Palliative Care Strategy</w:t>
      </w:r>
      <w:r w:rsidRPr="00A16C5B">
        <w:t>. Wellington: Ministry of Health. URL:</w:t>
      </w:r>
      <w:r>
        <w:t xml:space="preserve"> </w:t>
      </w:r>
      <w:hyperlink r:id="rId65" w:history="1">
        <w:r w:rsidRPr="00945732">
          <w:rPr>
            <w:rStyle w:val="Hyperlink"/>
          </w:rPr>
          <w:t>www.health.govt.nz/system/files/documents/publications/palliativecarestrategy.pdf</w:t>
        </w:r>
      </w:hyperlink>
    </w:p>
    <w:p w:rsidR="00023F13" w:rsidRDefault="00023F13" w:rsidP="00C87D69">
      <w:pPr>
        <w:pStyle w:val="References"/>
      </w:pPr>
      <w:proofErr w:type="gramStart"/>
      <w:r w:rsidRPr="001856FC">
        <w:t>Ministry of Health.</w:t>
      </w:r>
      <w:proofErr w:type="gramEnd"/>
      <w:r w:rsidRPr="001856FC">
        <w:t xml:space="preserve"> 2011. </w:t>
      </w:r>
      <w:r w:rsidRPr="009337F8">
        <w:rPr>
          <w:i/>
        </w:rPr>
        <w:t>Advance Care Planning: A guide for the New Zealand health care workforce</w:t>
      </w:r>
      <w:r w:rsidRPr="001856FC">
        <w:t>.</w:t>
      </w:r>
      <w:r>
        <w:t xml:space="preserve"> Wellington: Ministry of Health. URL: </w:t>
      </w:r>
      <w:hyperlink r:id="rId66" w:history="1">
        <w:r w:rsidRPr="00945732">
          <w:rPr>
            <w:rStyle w:val="Hyperlink"/>
          </w:rPr>
          <w:t>www.health.govt.nz/publication/advance-care-planning-guide-new-zealand-health-care-workforce</w:t>
        </w:r>
      </w:hyperlink>
    </w:p>
    <w:p w:rsidR="00023F13" w:rsidRDefault="00023F13" w:rsidP="00C87D69">
      <w:pPr>
        <w:pStyle w:val="References"/>
      </w:pPr>
      <w:proofErr w:type="gramStart"/>
      <w:r w:rsidRPr="00D70689">
        <w:t>Ministry of Health.</w:t>
      </w:r>
      <w:proofErr w:type="gramEnd"/>
      <w:r w:rsidRPr="00D70689">
        <w:t xml:space="preserve"> 2013. </w:t>
      </w:r>
      <w:r w:rsidRPr="009337F8">
        <w:rPr>
          <w:i/>
        </w:rPr>
        <w:t>Resource and Capability Framework for Integrated Adult Palliative Care Services in New Zealand</w:t>
      </w:r>
      <w:r>
        <w:t xml:space="preserve">. Wellington: Ministry of Health. URL: </w:t>
      </w:r>
      <w:hyperlink r:id="rId67" w:history="1">
        <w:r w:rsidRPr="00945732">
          <w:rPr>
            <w:rStyle w:val="Hyperlink"/>
          </w:rPr>
          <w:t>www.health.govt.nz/publication/resource-and-capability-framework-integrated-adult-palliative-care-services-new-zealand</w:t>
        </w:r>
      </w:hyperlink>
    </w:p>
    <w:p w:rsidR="002D0608" w:rsidRDefault="00023F13" w:rsidP="00C87D69">
      <w:pPr>
        <w:pStyle w:val="References"/>
        <w:rPr>
          <w:color w:val="666666"/>
        </w:rPr>
      </w:pPr>
      <w:r>
        <w:t>NICE</w:t>
      </w:r>
      <w:r w:rsidRPr="00375AC8">
        <w:t>. 2011.</w:t>
      </w:r>
      <w:r w:rsidRPr="00C50ADB">
        <w:rPr>
          <w:i/>
        </w:rPr>
        <w:t xml:space="preserve"> </w:t>
      </w:r>
      <w:r>
        <w:rPr>
          <w:i/>
        </w:rPr>
        <w:t>Lung cancer:</w:t>
      </w:r>
      <w:r w:rsidRPr="00C50ADB">
        <w:rPr>
          <w:i/>
        </w:rPr>
        <w:t xml:space="preserve"> The diagnosis and treatment of lung cancer</w:t>
      </w:r>
      <w:r w:rsidRPr="00E14000">
        <w:t>.</w:t>
      </w:r>
      <w:r>
        <w:rPr>
          <w:i/>
        </w:rPr>
        <w:t xml:space="preserve"> </w:t>
      </w:r>
      <w:r>
        <w:t>London: National Institute for Health and Clinical Excellence. URL</w:t>
      </w:r>
      <w:r>
        <w:rPr>
          <w:i/>
          <w:szCs w:val="22"/>
        </w:rPr>
        <w:t xml:space="preserve"> </w:t>
      </w:r>
      <w:hyperlink r:id="rId68" w:history="1">
        <w:r w:rsidRPr="00280CC1">
          <w:rPr>
            <w:rStyle w:val="Hyperlink"/>
            <w:szCs w:val="22"/>
          </w:rPr>
          <w:t>www.</w:t>
        </w:r>
        <w:r w:rsidRPr="00280CC1">
          <w:rPr>
            <w:rStyle w:val="Hyperlink"/>
            <w:bCs/>
            <w:szCs w:val="22"/>
          </w:rPr>
          <w:t>nice</w:t>
        </w:r>
        <w:r w:rsidRPr="00280CC1">
          <w:rPr>
            <w:rStyle w:val="Hyperlink"/>
            <w:szCs w:val="22"/>
          </w:rPr>
          <w:t>.</w:t>
        </w:r>
        <w:r w:rsidRPr="00280CC1">
          <w:rPr>
            <w:rStyle w:val="Hyperlink"/>
            <w:bCs/>
            <w:szCs w:val="22"/>
          </w:rPr>
          <w:t>org</w:t>
        </w:r>
        <w:r w:rsidRPr="00280CC1">
          <w:rPr>
            <w:rStyle w:val="Hyperlink"/>
            <w:szCs w:val="22"/>
          </w:rPr>
          <w:t>.</w:t>
        </w:r>
        <w:r w:rsidRPr="00280CC1">
          <w:rPr>
            <w:rStyle w:val="Hyperlink"/>
            <w:bCs/>
            <w:szCs w:val="22"/>
          </w:rPr>
          <w:t>uk</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cg121</w:t>
        </w:r>
        <w:r w:rsidRPr="00280CC1">
          <w:rPr>
            <w:rStyle w:val="Hyperlink"/>
            <w:szCs w:val="22"/>
          </w:rPr>
          <w:t>/</w:t>
        </w:r>
        <w:r w:rsidRPr="00280CC1">
          <w:rPr>
            <w:rStyle w:val="Hyperlink"/>
            <w:bCs/>
            <w:szCs w:val="22"/>
          </w:rPr>
          <w:t>resources</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lung</w:t>
        </w:r>
        <w:r w:rsidRPr="00280CC1">
          <w:rPr>
            <w:rStyle w:val="Hyperlink"/>
            <w:szCs w:val="22"/>
          </w:rPr>
          <w:t>-</w:t>
        </w:r>
        <w:r w:rsidRPr="00280CC1">
          <w:rPr>
            <w:rStyle w:val="Hyperlink"/>
            <w:bCs/>
            <w:szCs w:val="22"/>
          </w:rPr>
          <w:t>cancer</w:t>
        </w:r>
        <w:r w:rsidRPr="00280CC1">
          <w:rPr>
            <w:rStyle w:val="Hyperlink"/>
            <w:szCs w:val="22"/>
          </w:rPr>
          <w:t>-</w:t>
        </w:r>
        <w:r w:rsidRPr="00280CC1">
          <w:rPr>
            <w:rStyle w:val="Hyperlink"/>
            <w:bCs/>
            <w:szCs w:val="22"/>
          </w:rPr>
          <w:t>pdf</w:t>
        </w:r>
      </w:hyperlink>
    </w:p>
    <w:p w:rsidR="00023F13" w:rsidRPr="00056FBE" w:rsidRDefault="00023F13" w:rsidP="007F4F59">
      <w:pPr>
        <w:pStyle w:val="Heading3"/>
      </w:pPr>
      <w:r w:rsidRPr="00056FBE">
        <w:t>Follow-up and surveillance</w:t>
      </w:r>
    </w:p>
    <w:p w:rsidR="00023F13" w:rsidRPr="000759DB" w:rsidRDefault="00023F13" w:rsidP="00C87D69">
      <w:pPr>
        <w:pStyle w:val="References"/>
      </w:pPr>
      <w:proofErr w:type="gramStart"/>
      <w:r w:rsidRPr="00D70689">
        <w:t>Ministry of Health.</w:t>
      </w:r>
      <w:proofErr w:type="gramEnd"/>
      <w:r w:rsidRPr="00D70689">
        <w:t xml:space="preserve"> 2013. </w:t>
      </w:r>
      <w:r w:rsidRPr="009337F8">
        <w:rPr>
          <w:i/>
        </w:rPr>
        <w:t>Resource and Capability Framework for Integrated Adult Palliative Care Services in New Zealand</w:t>
      </w:r>
      <w:r>
        <w:t xml:space="preserve">. Wellington: Ministry of Health. URL: </w:t>
      </w:r>
      <w:hyperlink r:id="rId69" w:history="1">
        <w:r w:rsidRPr="0017736D">
          <w:rPr>
            <w:rStyle w:val="Hyperlink"/>
          </w:rPr>
          <w:t>www.health.govt.nz/publication/resource-and-capability-framework-integrated-adult-palliative-care-services-new-zealand</w:t>
        </w:r>
      </w:hyperlink>
    </w:p>
    <w:p w:rsidR="002D0608" w:rsidRDefault="00023F13" w:rsidP="00C87D69">
      <w:pPr>
        <w:pStyle w:val="References"/>
      </w:pPr>
      <w:r>
        <w:t>NICE</w:t>
      </w:r>
      <w:r w:rsidRPr="00375AC8">
        <w:t>. 2011.</w:t>
      </w:r>
      <w:r w:rsidRPr="00C50ADB">
        <w:rPr>
          <w:i/>
        </w:rPr>
        <w:t xml:space="preserve"> </w:t>
      </w:r>
      <w:r>
        <w:rPr>
          <w:i/>
        </w:rPr>
        <w:t>Lung cancer:</w:t>
      </w:r>
      <w:r w:rsidRPr="00C50ADB">
        <w:rPr>
          <w:i/>
        </w:rPr>
        <w:t xml:space="preserve"> The diagnosis and treatment of lung cancer</w:t>
      </w:r>
      <w:r w:rsidRPr="00DA4A10">
        <w:t>.</w:t>
      </w:r>
      <w:r>
        <w:rPr>
          <w:i/>
        </w:rPr>
        <w:t xml:space="preserve"> </w:t>
      </w:r>
      <w:r>
        <w:t>London: National Institute for Health and Clinical Excellence. URL:</w:t>
      </w:r>
      <w:r>
        <w:rPr>
          <w:i/>
          <w:szCs w:val="22"/>
        </w:rPr>
        <w:t xml:space="preserve"> </w:t>
      </w:r>
      <w:hyperlink r:id="rId70" w:history="1">
        <w:r w:rsidRPr="00280CC1">
          <w:rPr>
            <w:rStyle w:val="Hyperlink"/>
            <w:szCs w:val="22"/>
          </w:rPr>
          <w:t>www.</w:t>
        </w:r>
        <w:r w:rsidRPr="00280CC1">
          <w:rPr>
            <w:rStyle w:val="Hyperlink"/>
            <w:bCs/>
            <w:szCs w:val="22"/>
          </w:rPr>
          <w:t>nice</w:t>
        </w:r>
        <w:r w:rsidRPr="00280CC1">
          <w:rPr>
            <w:rStyle w:val="Hyperlink"/>
            <w:szCs w:val="22"/>
          </w:rPr>
          <w:t>.</w:t>
        </w:r>
        <w:r w:rsidRPr="00280CC1">
          <w:rPr>
            <w:rStyle w:val="Hyperlink"/>
            <w:bCs/>
            <w:szCs w:val="22"/>
          </w:rPr>
          <w:t>org</w:t>
        </w:r>
        <w:r w:rsidRPr="00280CC1">
          <w:rPr>
            <w:rStyle w:val="Hyperlink"/>
            <w:szCs w:val="22"/>
          </w:rPr>
          <w:t>.</w:t>
        </w:r>
        <w:r w:rsidRPr="00280CC1">
          <w:rPr>
            <w:rStyle w:val="Hyperlink"/>
            <w:bCs/>
            <w:szCs w:val="22"/>
          </w:rPr>
          <w:t>uk</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cg121</w:t>
        </w:r>
        <w:r w:rsidRPr="00280CC1">
          <w:rPr>
            <w:rStyle w:val="Hyperlink"/>
            <w:szCs w:val="22"/>
          </w:rPr>
          <w:t>/</w:t>
        </w:r>
        <w:r w:rsidRPr="00280CC1">
          <w:rPr>
            <w:rStyle w:val="Hyperlink"/>
            <w:bCs/>
            <w:szCs w:val="22"/>
          </w:rPr>
          <w:t>resources</w:t>
        </w:r>
        <w:r w:rsidRPr="00280CC1">
          <w:rPr>
            <w:rStyle w:val="Hyperlink"/>
            <w:szCs w:val="22"/>
          </w:rPr>
          <w:t>/</w:t>
        </w:r>
        <w:r w:rsidRPr="00280CC1">
          <w:rPr>
            <w:rStyle w:val="Hyperlink"/>
            <w:bCs/>
            <w:szCs w:val="22"/>
          </w:rPr>
          <w:t>guidance</w:t>
        </w:r>
        <w:r w:rsidRPr="00280CC1">
          <w:rPr>
            <w:rStyle w:val="Hyperlink"/>
            <w:szCs w:val="22"/>
          </w:rPr>
          <w:t>-</w:t>
        </w:r>
        <w:r w:rsidRPr="00280CC1">
          <w:rPr>
            <w:rStyle w:val="Hyperlink"/>
            <w:bCs/>
            <w:szCs w:val="22"/>
          </w:rPr>
          <w:t>lung</w:t>
        </w:r>
        <w:r w:rsidRPr="00280CC1">
          <w:rPr>
            <w:rStyle w:val="Hyperlink"/>
            <w:szCs w:val="22"/>
          </w:rPr>
          <w:t>-</w:t>
        </w:r>
        <w:r w:rsidRPr="00280CC1">
          <w:rPr>
            <w:rStyle w:val="Hyperlink"/>
            <w:bCs/>
            <w:szCs w:val="22"/>
          </w:rPr>
          <w:t>cancer</w:t>
        </w:r>
        <w:r w:rsidRPr="00280CC1">
          <w:rPr>
            <w:rStyle w:val="Hyperlink"/>
            <w:szCs w:val="22"/>
          </w:rPr>
          <w:t>-</w:t>
        </w:r>
        <w:r w:rsidRPr="00280CC1">
          <w:rPr>
            <w:rStyle w:val="Hyperlink"/>
            <w:bCs/>
            <w:szCs w:val="22"/>
          </w:rPr>
          <w:t>pdf</w:t>
        </w:r>
      </w:hyperlink>
    </w:p>
    <w:p w:rsidR="00023F13" w:rsidRPr="00F45C64" w:rsidRDefault="00023F13" w:rsidP="007F4F59">
      <w:pPr>
        <w:pStyle w:val="Heading3"/>
      </w:pPr>
      <w:r w:rsidRPr="00F45C64">
        <w:t>Clinical performance monitoring and research</w:t>
      </w:r>
    </w:p>
    <w:p w:rsidR="00023F13" w:rsidRDefault="00023F13" w:rsidP="007F4F59">
      <w:pPr>
        <w:pStyle w:val="References"/>
        <w:keepNext/>
      </w:pPr>
      <w:r w:rsidRPr="000759DB">
        <w:t xml:space="preserve">National Health IT Board. </w:t>
      </w:r>
      <w:r>
        <w:t xml:space="preserve">2011. </w:t>
      </w:r>
      <w:r w:rsidRPr="00580C7D">
        <w:rPr>
          <w:i/>
        </w:rPr>
        <w:t>HISO 10038</w:t>
      </w:r>
      <w:r>
        <w:t xml:space="preserve"> </w:t>
      </w:r>
      <w:r w:rsidRPr="00AE7D71">
        <w:rPr>
          <w:i/>
        </w:rPr>
        <w:t xml:space="preserve">National Cancer Core Data Business Process, Data Definition Messaging Standard and Implementation Guide </w:t>
      </w:r>
      <w:r>
        <w:rPr>
          <w:i/>
        </w:rPr>
        <w:t xml:space="preserve">Interim </w:t>
      </w:r>
      <w:r w:rsidRPr="00AE7D71">
        <w:rPr>
          <w:i/>
        </w:rPr>
        <w:t>Standard</w:t>
      </w:r>
      <w:r w:rsidRPr="00FB60E9">
        <w:t>.</w:t>
      </w:r>
      <w:r>
        <w:t xml:space="preserve"> Wellington: </w:t>
      </w:r>
      <w:r w:rsidRPr="000759DB">
        <w:t>National Health IT Board</w:t>
      </w:r>
      <w:r>
        <w:t>.</w:t>
      </w:r>
      <w:r>
        <w:rPr>
          <w:i/>
        </w:rPr>
        <w:t xml:space="preserve"> </w:t>
      </w:r>
      <w:r w:rsidRPr="00FB60E9">
        <w:t xml:space="preserve">URL: </w:t>
      </w:r>
      <w:hyperlink r:id="rId71" w:history="1">
        <w:r w:rsidRPr="00FB60E9">
          <w:rPr>
            <w:rStyle w:val="Hyperlink"/>
          </w:rPr>
          <w:t>http://healthitboard.health.govt.nz/hiso-10038-national-cancer-core-data-standard</w:t>
        </w:r>
      </w:hyperlink>
    </w:p>
    <w:sectPr w:rsidR="00023F13" w:rsidSect="0029047E">
      <w:footerReference w:type="default" r:id="rId72"/>
      <w:pgSz w:w="11907" w:h="16839" w:code="9"/>
      <w:pgMar w:top="1985" w:right="1701" w:bottom="1418" w:left="2268"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63" w:rsidRDefault="00F76963">
      <w:r>
        <w:separator/>
      </w:r>
    </w:p>
  </w:endnote>
  <w:endnote w:type="continuationSeparator" w:id="0">
    <w:p w:rsidR="00F76963" w:rsidRDefault="00F7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NZ-Ligh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Default="00F76963" w:rsidP="00E64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76963" w:rsidRDefault="00F76963" w:rsidP="00E64E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Pr="00E74398" w:rsidRDefault="00F76963" w:rsidP="003E1CB3">
    <w:pPr>
      <w:pStyle w:val="Footer"/>
      <w:pBdr>
        <w:top w:val="none" w:sz="0" w:space="0" w:color="auto"/>
      </w:pBdr>
      <w:tabs>
        <w:tab w:val="clear" w:pos="8505"/>
        <w:tab w:val="right" w:pos="9639"/>
      </w:tabs>
      <w:spacing w:before="0"/>
      <w:ind w:left="0" w:right="0"/>
      <w:rPr>
        <w:b/>
        <w:sz w:val="36"/>
        <w:szCs w:val="36"/>
      </w:rPr>
    </w:pPr>
    <w:r>
      <w:rPr>
        <w:rFonts w:ascii="HelvNZ-Light" w:hAnsi="HelvNZ-Light" w:cs="HelvNZ-Light"/>
        <w:noProof/>
        <w:sz w:val="48"/>
        <w:szCs w:val="48"/>
        <w:lang w:eastAsia="en-NZ"/>
      </w:rPr>
      <w:drawing>
        <wp:inline distT="0" distB="0" distL="0" distR="0" wp14:anchorId="2E5981CF" wp14:editId="3AD5A230">
          <wp:extent cx="1994453" cy="205312"/>
          <wp:effectExtent l="0" t="0" r="635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1">
                    <a:extLst>
                      <a:ext uri="{28A0092B-C50C-407E-A947-70E740481C1C}">
                        <a14:useLocalDpi xmlns:a14="http://schemas.microsoft.com/office/drawing/2010/main" val="0"/>
                      </a:ext>
                    </a:extLst>
                  </a:blip>
                  <a:stretch>
                    <a:fillRect/>
                  </a:stretch>
                </pic:blipFill>
                <pic:spPr>
                  <a:xfrm>
                    <a:off x="0" y="0"/>
                    <a:ext cx="1993433" cy="205207"/>
                  </a:xfrm>
                  <a:prstGeom prst="rect">
                    <a:avLst/>
                  </a:prstGeom>
                </pic:spPr>
              </pic:pic>
            </a:graphicData>
          </a:graphic>
        </wp:inline>
      </w:drawing>
    </w:r>
    <w:r>
      <w:tab/>
    </w:r>
    <w:r w:rsidRPr="00E74398">
      <w:rPr>
        <w:b/>
        <w:sz w:val="36"/>
        <w:szCs w:val="36"/>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Default="00F769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Default="00F76963" w:rsidP="003E1CB3">
    <w:pPr>
      <w:pStyle w:val="Footer"/>
      <w:pBdr>
        <w:top w:val="none" w:sz="0" w:space="0" w:color="auto"/>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Pr="003D766E" w:rsidRDefault="00F76963" w:rsidP="003A0A33">
    <w:pPr>
      <w:pStyle w:val="Footer"/>
      <w:pBdr>
        <w:top w:val="none" w:sz="0" w:space="0" w:color="auto"/>
      </w:pBd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382787"/>
      <w:docPartObj>
        <w:docPartGallery w:val="Page Numbers (Bottom of Page)"/>
        <w:docPartUnique/>
      </w:docPartObj>
    </w:sdtPr>
    <w:sdtContent>
      <w:p w:rsidR="00F76963" w:rsidRDefault="00F76963" w:rsidP="005B4C85">
        <w:pPr>
          <w:pStyle w:val="Footereven"/>
        </w:pPr>
        <w:r w:rsidRPr="0019410A">
          <w:rPr>
            <w:rStyle w:val="PageNumber"/>
            <w:noProof/>
            <w:lang w:eastAsia="en-NZ"/>
          </w:rPr>
          <mc:AlternateContent>
            <mc:Choice Requires="wps">
              <w:drawing>
                <wp:anchor distT="0" distB="0" distL="114300" distR="114300" simplePos="0" relativeHeight="251663360" behindDoc="0" locked="0" layoutInCell="1" allowOverlap="1" wp14:anchorId="44639BFE" wp14:editId="3C64469A">
                  <wp:simplePos x="0" y="0"/>
                  <wp:positionH relativeFrom="leftMargin">
                    <wp:posOffset>480060</wp:posOffset>
                  </wp:positionH>
                  <wp:positionV relativeFrom="bottomMargin">
                    <wp:posOffset>405188</wp:posOffset>
                  </wp:positionV>
                  <wp:extent cx="762000" cy="265430"/>
                  <wp:effectExtent l="0" t="0" r="0" b="12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54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PageNumber"/>
                                  <w:rFonts w:eastAsiaTheme="majorEastAsia"/>
                                </w:rPr>
                                <w:id w:val="-210881673"/>
                                <w:docPartObj>
                                  <w:docPartGallery w:val="Page Numbers (Margins)"/>
                                  <w:docPartUnique/>
                                </w:docPartObj>
                              </w:sdtPr>
                              <w:sdtContent>
                                <w:sdt>
                                  <w:sdtPr>
                                    <w:rPr>
                                      <w:rStyle w:val="PageNumber"/>
                                      <w:rFonts w:eastAsiaTheme="majorEastAsia"/>
                                    </w:rPr>
                                    <w:id w:val="-1264373606"/>
                                    <w:docPartObj>
                                      <w:docPartGallery w:val="Page Numbers (Margins)"/>
                                      <w:docPartUnique/>
                                    </w:docPartObj>
                                  </w:sdtPr>
                                  <w:sdtContent>
                                    <w:p w:rsidR="00F76963" w:rsidRPr="0019410A" w:rsidRDefault="00F76963" w:rsidP="005B4C85">
                                      <w:pPr>
                                        <w:spacing w:before="0"/>
                                        <w:jc w:val="center"/>
                                        <w:rPr>
                                          <w:rStyle w:val="PageNumber"/>
                                          <w:rFonts w:eastAsiaTheme="majorEastAsia"/>
                                        </w:rPr>
                                      </w:pPr>
                                      <w:r w:rsidRPr="0019410A">
                                        <w:rPr>
                                          <w:rStyle w:val="PageNumber"/>
                                          <w:rFonts w:eastAsiaTheme="majorEastAsia"/>
                                        </w:rPr>
                                        <w:fldChar w:fldCharType="begin"/>
                                      </w:r>
                                      <w:r w:rsidRPr="0019410A">
                                        <w:rPr>
                                          <w:rStyle w:val="PageNumber"/>
                                        </w:rPr>
                                        <w:instrText xml:space="preserve"> PAGE   \* MERGEFORMAT </w:instrText>
                                      </w:r>
                                      <w:r w:rsidRPr="0019410A">
                                        <w:rPr>
                                          <w:rStyle w:val="PageNumber"/>
                                          <w:rFonts w:eastAsiaTheme="majorEastAsia"/>
                                        </w:rPr>
                                        <w:fldChar w:fldCharType="separate"/>
                                      </w:r>
                                      <w:r w:rsidR="00825450">
                                        <w:rPr>
                                          <w:rStyle w:val="PageNumber"/>
                                          <w:noProof/>
                                        </w:rPr>
                                        <w:t>iv</w:t>
                                      </w:r>
                                      <w:r w:rsidRPr="0019410A">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7.8pt;margin-top:31.9pt;width:60pt;height:20.9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" stroked="f">
                  <v:textbox>
                    <w:txbxContent>
                      <w:sdt>
                        <w:sdtPr>
                          <w:rPr>
                            <w:rStyle w:val="PageNumber"/>
                            <w:rFonts w:eastAsiaTheme="majorEastAsia"/>
                          </w:rPr>
                          <w:id w:val="-210881673"/>
                          <w:docPartObj>
                            <w:docPartGallery w:val="Page Numbers (Margins)"/>
                            <w:docPartUnique/>
                          </w:docPartObj>
                        </w:sdtPr>
                        <w:sdtContent>
                          <w:sdt>
                            <w:sdtPr>
                              <w:rPr>
                                <w:rStyle w:val="PageNumber"/>
                                <w:rFonts w:eastAsiaTheme="majorEastAsia"/>
                              </w:rPr>
                              <w:id w:val="-1264373606"/>
                              <w:docPartObj>
                                <w:docPartGallery w:val="Page Numbers (Margins)"/>
                                <w:docPartUnique/>
                              </w:docPartObj>
                            </w:sdtPr>
                            <w:sdtContent>
                              <w:p w:rsidR="00F76963" w:rsidRPr="0019410A" w:rsidRDefault="00F76963" w:rsidP="005B4C85">
                                <w:pPr>
                                  <w:spacing w:before="0"/>
                                  <w:jc w:val="center"/>
                                  <w:rPr>
                                    <w:rStyle w:val="PageNumber"/>
                                    <w:rFonts w:eastAsiaTheme="majorEastAsia"/>
                                  </w:rPr>
                                </w:pPr>
                                <w:r w:rsidRPr="0019410A">
                                  <w:rPr>
                                    <w:rStyle w:val="PageNumber"/>
                                    <w:rFonts w:eastAsiaTheme="majorEastAsia"/>
                                  </w:rPr>
                                  <w:fldChar w:fldCharType="begin"/>
                                </w:r>
                                <w:r w:rsidRPr="0019410A">
                                  <w:rPr>
                                    <w:rStyle w:val="PageNumber"/>
                                  </w:rPr>
                                  <w:instrText xml:space="preserve"> PAGE   \* MERGEFORMAT </w:instrText>
                                </w:r>
                                <w:r w:rsidRPr="0019410A">
                                  <w:rPr>
                                    <w:rStyle w:val="PageNumber"/>
                                    <w:rFonts w:eastAsiaTheme="majorEastAsia"/>
                                  </w:rPr>
                                  <w:fldChar w:fldCharType="separate"/>
                                </w:r>
                                <w:r w:rsidR="00825450">
                                  <w:rPr>
                                    <w:rStyle w:val="PageNumber"/>
                                    <w:noProof/>
                                  </w:rPr>
                                  <w:t>iv</w:t>
                                </w:r>
                                <w:r w:rsidRPr="0019410A">
                                  <w:rPr>
                                    <w:rStyle w:val="PageNumber"/>
                                    <w:rFonts w:eastAsiaTheme="majorEastAsia"/>
                                  </w:rPr>
                                  <w:fldChar w:fldCharType="end"/>
                                </w:r>
                              </w:p>
                            </w:sdtContent>
                          </w:sdt>
                        </w:sdtContent>
                      </w:sdt>
                    </w:txbxContent>
                  </v:textbox>
                  <w10:wrap anchorx="margin" anchory="margin"/>
                </v:rect>
              </w:pict>
            </mc:Fallback>
          </mc:AlternateContent>
        </w:r>
        <w:r w:rsidRPr="00542BEF">
          <w:t>Standards of Service Provision for Lung Cancer Patients in New Zealand 2016</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154416"/>
      <w:docPartObj>
        <w:docPartGallery w:val="Page Numbers (Bottom of Page)"/>
        <w:docPartUnique/>
      </w:docPartObj>
    </w:sdtPr>
    <w:sdtContent>
      <w:p w:rsidR="00F76963" w:rsidRPr="00E74398" w:rsidRDefault="00F76963" w:rsidP="00542BEF">
        <w:pPr>
          <w:pStyle w:val="Footer"/>
        </w:pPr>
        <w:r w:rsidRPr="0019410A">
          <w:rPr>
            <w:rStyle w:val="PageNumber"/>
            <w:noProof/>
            <w:lang w:eastAsia="en-NZ"/>
          </w:rPr>
          <mc:AlternateContent>
            <mc:Choice Requires="wps">
              <w:drawing>
                <wp:anchor distT="0" distB="0" distL="114300" distR="114300" simplePos="0" relativeHeight="251659264" behindDoc="0" locked="0" layoutInCell="1" allowOverlap="1" wp14:anchorId="3E6C40EA" wp14:editId="5A032B5F">
                  <wp:simplePos x="0" y="0"/>
                  <wp:positionH relativeFrom="leftMargin">
                    <wp:posOffset>6573520</wp:posOffset>
                  </wp:positionH>
                  <wp:positionV relativeFrom="bottomMargin">
                    <wp:posOffset>438785</wp:posOffset>
                  </wp:positionV>
                  <wp:extent cx="762000" cy="265430"/>
                  <wp:effectExtent l="0" t="0" r="0" b="1270"/>
                  <wp:wrapNone/>
                  <wp:docPr id="5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54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PageNumber"/>
                                  <w:rFonts w:eastAsiaTheme="majorEastAsia"/>
                                </w:rPr>
                                <w:id w:val="792173802"/>
                                <w:docPartObj>
                                  <w:docPartGallery w:val="Page Numbers (Margins)"/>
                                  <w:docPartUnique/>
                                </w:docPartObj>
                              </w:sdtPr>
                              <w:sdtContent>
                                <w:sdt>
                                  <w:sdtPr>
                                    <w:rPr>
                                      <w:rStyle w:val="PageNumber"/>
                                      <w:rFonts w:eastAsiaTheme="majorEastAsia"/>
                                    </w:rPr>
                                    <w:id w:val="689489261"/>
                                    <w:docPartObj>
                                      <w:docPartGallery w:val="Page Numbers (Margins)"/>
                                      <w:docPartUnique/>
                                    </w:docPartObj>
                                  </w:sdtPr>
                                  <w:sdtContent>
                                    <w:p w:rsidR="00F76963" w:rsidRPr="0019410A" w:rsidRDefault="00F76963" w:rsidP="0019410A">
                                      <w:pPr>
                                        <w:spacing w:before="0"/>
                                        <w:jc w:val="center"/>
                                        <w:rPr>
                                          <w:rStyle w:val="PageNumber"/>
                                          <w:rFonts w:eastAsiaTheme="majorEastAsia"/>
                                        </w:rPr>
                                      </w:pPr>
                                      <w:r w:rsidRPr="0019410A">
                                        <w:rPr>
                                          <w:rStyle w:val="PageNumber"/>
                                          <w:rFonts w:eastAsiaTheme="majorEastAsia"/>
                                        </w:rPr>
                                        <w:fldChar w:fldCharType="begin"/>
                                      </w:r>
                                      <w:r w:rsidRPr="0019410A">
                                        <w:rPr>
                                          <w:rStyle w:val="PageNumber"/>
                                        </w:rPr>
                                        <w:instrText xml:space="preserve"> PAGE   \* MERGEFORMAT </w:instrText>
                                      </w:r>
                                      <w:r w:rsidRPr="0019410A">
                                        <w:rPr>
                                          <w:rStyle w:val="PageNumber"/>
                                          <w:rFonts w:eastAsiaTheme="majorEastAsia"/>
                                        </w:rPr>
                                        <w:fldChar w:fldCharType="separate"/>
                                      </w:r>
                                      <w:r w:rsidR="00825450">
                                        <w:rPr>
                                          <w:rStyle w:val="PageNumber"/>
                                          <w:noProof/>
                                        </w:rPr>
                                        <w:t>iii</w:t>
                                      </w:r>
                                      <w:r w:rsidRPr="0019410A">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17.6pt;margin-top:34.55pt;width:60pt;height:20.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" stroked="f">
                  <v:textbox>
                    <w:txbxContent>
                      <w:sdt>
                        <w:sdtPr>
                          <w:rPr>
                            <w:rStyle w:val="PageNumber"/>
                            <w:rFonts w:eastAsiaTheme="majorEastAsia"/>
                          </w:rPr>
                          <w:id w:val="792173802"/>
                          <w:docPartObj>
                            <w:docPartGallery w:val="Page Numbers (Margins)"/>
                            <w:docPartUnique/>
                          </w:docPartObj>
                        </w:sdtPr>
                        <w:sdtContent>
                          <w:sdt>
                            <w:sdtPr>
                              <w:rPr>
                                <w:rStyle w:val="PageNumber"/>
                                <w:rFonts w:eastAsiaTheme="majorEastAsia"/>
                              </w:rPr>
                              <w:id w:val="689489261"/>
                              <w:docPartObj>
                                <w:docPartGallery w:val="Page Numbers (Margins)"/>
                                <w:docPartUnique/>
                              </w:docPartObj>
                            </w:sdtPr>
                            <w:sdtContent>
                              <w:p w:rsidR="00F76963" w:rsidRPr="0019410A" w:rsidRDefault="00F76963" w:rsidP="0019410A">
                                <w:pPr>
                                  <w:spacing w:before="0"/>
                                  <w:jc w:val="center"/>
                                  <w:rPr>
                                    <w:rStyle w:val="PageNumber"/>
                                    <w:rFonts w:eastAsiaTheme="majorEastAsia"/>
                                  </w:rPr>
                                </w:pPr>
                                <w:r w:rsidRPr="0019410A">
                                  <w:rPr>
                                    <w:rStyle w:val="PageNumber"/>
                                    <w:rFonts w:eastAsiaTheme="majorEastAsia"/>
                                  </w:rPr>
                                  <w:fldChar w:fldCharType="begin"/>
                                </w:r>
                                <w:r w:rsidRPr="0019410A">
                                  <w:rPr>
                                    <w:rStyle w:val="PageNumber"/>
                                  </w:rPr>
                                  <w:instrText xml:space="preserve"> PAGE   \* MERGEFORMAT </w:instrText>
                                </w:r>
                                <w:r w:rsidRPr="0019410A">
                                  <w:rPr>
                                    <w:rStyle w:val="PageNumber"/>
                                    <w:rFonts w:eastAsiaTheme="majorEastAsia"/>
                                  </w:rPr>
                                  <w:fldChar w:fldCharType="separate"/>
                                </w:r>
                                <w:r w:rsidR="00825450">
                                  <w:rPr>
                                    <w:rStyle w:val="PageNumber"/>
                                    <w:noProof/>
                                  </w:rPr>
                                  <w:t>iii</w:t>
                                </w:r>
                                <w:r w:rsidRPr="0019410A">
                                  <w:rPr>
                                    <w:rStyle w:val="PageNumber"/>
                                    <w:rFonts w:eastAsiaTheme="majorEastAsia"/>
                                  </w:rPr>
                                  <w:fldChar w:fldCharType="end"/>
                                </w:r>
                              </w:p>
                            </w:sdtContent>
                          </w:sdt>
                        </w:sdtContent>
                      </w:sdt>
                    </w:txbxContent>
                  </v:textbox>
                  <w10:wrap anchorx="margin" anchory="margin"/>
                </v:rect>
              </w:pict>
            </mc:Fallback>
          </mc:AlternateContent>
        </w:r>
        <w:r w:rsidRPr="00542BEF">
          <w:t>Standards of Service Provision for Lung Cancer Patients in New Zealand 2016</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20347"/>
      <w:docPartObj>
        <w:docPartGallery w:val="Page Numbers (Bottom of Page)"/>
        <w:docPartUnique/>
      </w:docPartObj>
    </w:sdtPr>
    <w:sdtContent>
      <w:p w:rsidR="00F76963" w:rsidRPr="00E74398" w:rsidRDefault="00F76963" w:rsidP="00542BEF">
        <w:pPr>
          <w:pStyle w:val="Footer"/>
        </w:pPr>
        <w:r w:rsidRPr="0019410A">
          <w:rPr>
            <w:rStyle w:val="PageNumber"/>
            <w:noProof/>
            <w:lang w:eastAsia="en-NZ"/>
          </w:rPr>
          <mc:AlternateContent>
            <mc:Choice Requires="wps">
              <w:drawing>
                <wp:anchor distT="0" distB="0" distL="114300" distR="114300" simplePos="0" relativeHeight="251661312" behindDoc="0" locked="0" layoutInCell="1" allowOverlap="1" wp14:anchorId="312D7C71" wp14:editId="390BD03F">
                  <wp:simplePos x="0" y="0"/>
                  <wp:positionH relativeFrom="leftMargin">
                    <wp:posOffset>6573520</wp:posOffset>
                  </wp:positionH>
                  <wp:positionV relativeFrom="bottomMargin">
                    <wp:posOffset>438785</wp:posOffset>
                  </wp:positionV>
                  <wp:extent cx="762000" cy="265430"/>
                  <wp:effectExtent l="0" t="0" r="0" b="12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654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PageNumber"/>
                                  <w:rFonts w:eastAsiaTheme="majorEastAsia"/>
                                </w:rPr>
                                <w:id w:val="-1179419010"/>
                                <w:docPartObj>
                                  <w:docPartGallery w:val="Page Numbers (Margins)"/>
                                  <w:docPartUnique/>
                                </w:docPartObj>
                              </w:sdtPr>
                              <w:sdtContent>
                                <w:sdt>
                                  <w:sdtPr>
                                    <w:rPr>
                                      <w:rStyle w:val="PageNumber"/>
                                      <w:rFonts w:eastAsiaTheme="majorEastAsia"/>
                                    </w:rPr>
                                    <w:id w:val="-12075023"/>
                                    <w:docPartObj>
                                      <w:docPartGallery w:val="Page Numbers (Margins)"/>
                                      <w:docPartUnique/>
                                    </w:docPartObj>
                                  </w:sdtPr>
                                  <w:sdtContent>
                                    <w:p w:rsidR="00F76963" w:rsidRPr="0019410A" w:rsidRDefault="00F76963" w:rsidP="0019410A">
                                      <w:pPr>
                                        <w:spacing w:before="0"/>
                                        <w:jc w:val="center"/>
                                        <w:rPr>
                                          <w:rStyle w:val="PageNumber"/>
                                          <w:rFonts w:eastAsiaTheme="majorEastAsia"/>
                                        </w:rPr>
                                      </w:pPr>
                                      <w:r w:rsidRPr="0019410A">
                                        <w:rPr>
                                          <w:rStyle w:val="PageNumber"/>
                                          <w:rFonts w:eastAsiaTheme="majorEastAsia"/>
                                        </w:rPr>
                                        <w:fldChar w:fldCharType="begin"/>
                                      </w:r>
                                      <w:r w:rsidRPr="0019410A">
                                        <w:rPr>
                                          <w:rStyle w:val="PageNumber"/>
                                        </w:rPr>
                                        <w:instrText xml:space="preserve"> PAGE   \* MERGEFORMAT </w:instrText>
                                      </w:r>
                                      <w:r w:rsidRPr="0019410A">
                                        <w:rPr>
                                          <w:rStyle w:val="PageNumber"/>
                                          <w:rFonts w:eastAsiaTheme="majorEastAsia"/>
                                        </w:rPr>
                                        <w:fldChar w:fldCharType="separate"/>
                                      </w:r>
                                      <w:r w:rsidR="00825450">
                                        <w:rPr>
                                          <w:rStyle w:val="PageNumber"/>
                                          <w:noProof/>
                                        </w:rPr>
                                        <w:t>1</w:t>
                                      </w:r>
                                      <w:r w:rsidRPr="0019410A">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17.6pt;margin-top:34.55pt;width:60pt;height:20.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" stroked="f">
                  <v:textbox>
                    <w:txbxContent>
                      <w:sdt>
                        <w:sdtPr>
                          <w:rPr>
                            <w:rStyle w:val="PageNumber"/>
                            <w:rFonts w:eastAsiaTheme="majorEastAsia"/>
                          </w:rPr>
                          <w:id w:val="-1179419010"/>
                          <w:docPartObj>
                            <w:docPartGallery w:val="Page Numbers (Margins)"/>
                            <w:docPartUnique/>
                          </w:docPartObj>
                        </w:sdtPr>
                        <w:sdtContent>
                          <w:sdt>
                            <w:sdtPr>
                              <w:rPr>
                                <w:rStyle w:val="PageNumber"/>
                                <w:rFonts w:eastAsiaTheme="majorEastAsia"/>
                              </w:rPr>
                              <w:id w:val="-12075023"/>
                              <w:docPartObj>
                                <w:docPartGallery w:val="Page Numbers (Margins)"/>
                                <w:docPartUnique/>
                              </w:docPartObj>
                            </w:sdtPr>
                            <w:sdtContent>
                              <w:p w:rsidR="00F76963" w:rsidRPr="0019410A" w:rsidRDefault="00F76963" w:rsidP="0019410A">
                                <w:pPr>
                                  <w:spacing w:before="0"/>
                                  <w:jc w:val="center"/>
                                  <w:rPr>
                                    <w:rStyle w:val="PageNumber"/>
                                    <w:rFonts w:eastAsiaTheme="majorEastAsia"/>
                                  </w:rPr>
                                </w:pPr>
                                <w:r w:rsidRPr="0019410A">
                                  <w:rPr>
                                    <w:rStyle w:val="PageNumber"/>
                                    <w:rFonts w:eastAsiaTheme="majorEastAsia"/>
                                  </w:rPr>
                                  <w:fldChar w:fldCharType="begin"/>
                                </w:r>
                                <w:r w:rsidRPr="0019410A">
                                  <w:rPr>
                                    <w:rStyle w:val="PageNumber"/>
                                  </w:rPr>
                                  <w:instrText xml:space="preserve"> PAGE   \* MERGEFORMAT </w:instrText>
                                </w:r>
                                <w:r w:rsidRPr="0019410A">
                                  <w:rPr>
                                    <w:rStyle w:val="PageNumber"/>
                                    <w:rFonts w:eastAsiaTheme="majorEastAsia"/>
                                  </w:rPr>
                                  <w:fldChar w:fldCharType="separate"/>
                                </w:r>
                                <w:r w:rsidR="00825450">
                                  <w:rPr>
                                    <w:rStyle w:val="PageNumber"/>
                                    <w:noProof/>
                                  </w:rPr>
                                  <w:t>1</w:t>
                                </w:r>
                                <w:r w:rsidRPr="0019410A">
                                  <w:rPr>
                                    <w:rStyle w:val="PageNumber"/>
                                    <w:rFonts w:eastAsiaTheme="majorEastAsia"/>
                                  </w:rPr>
                                  <w:fldChar w:fldCharType="end"/>
                                </w:r>
                              </w:p>
                            </w:sdtContent>
                          </w:sdt>
                        </w:sdtContent>
                      </w:sdt>
                    </w:txbxContent>
                  </v:textbox>
                  <w10:wrap anchorx="margin" anchory="margin"/>
                </v:rect>
              </w:pict>
            </mc:Fallback>
          </mc:AlternateContent>
        </w:r>
        <w:r w:rsidRPr="00542BEF">
          <w:t>Standards of Service Provision for Lung Cancer Patients in New Zealand 2016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63" w:rsidRDefault="00F76963">
      <w:r>
        <w:separator/>
      </w:r>
    </w:p>
  </w:footnote>
  <w:footnote w:type="continuationSeparator" w:id="0">
    <w:p w:rsidR="00F76963" w:rsidRDefault="00F7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Default="00F76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Default="00F769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Default="00F76963">
    <w:pPr>
      <w:pStyle w:val="Header"/>
    </w:pPr>
    <w:r>
      <w:rPr>
        <w:noProof/>
        <w:lang w:eastAsia="en-NZ"/>
      </w:rPr>
      <w:drawing>
        <wp:inline distT="0" distB="0" distL="0" distR="0" wp14:anchorId="30BBE9EC" wp14:editId="3409DE73">
          <wp:extent cx="6395085" cy="88392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395085" cy="88392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3" w:rsidRDefault="00F76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C6CA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B441A58"/>
    <w:lvl w:ilvl="0">
      <w:numFmt w:val="bullet"/>
      <w:lvlText w:val="*"/>
      <w:lvlJc w:val="left"/>
    </w:lvl>
  </w:abstractNum>
  <w:abstractNum w:abstractNumId="2">
    <w:nsid w:val="03627414"/>
    <w:multiLevelType w:val="hybridMultilevel"/>
    <w:tmpl w:val="FB069D84"/>
    <w:lvl w:ilvl="0" w:tplc="04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3FF0CA3"/>
    <w:multiLevelType w:val="hybridMultilevel"/>
    <w:tmpl w:val="D1A898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89A24B5"/>
    <w:multiLevelType w:val="multilevel"/>
    <w:tmpl w:val="C818DE44"/>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12107B"/>
    <w:multiLevelType w:val="hybridMultilevel"/>
    <w:tmpl w:val="9D7E553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3C76D98"/>
    <w:multiLevelType w:val="multilevel"/>
    <w:tmpl w:val="E584BB9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BA68AC"/>
    <w:multiLevelType w:val="multilevel"/>
    <w:tmpl w:val="D88AE412"/>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A9761D"/>
    <w:multiLevelType w:val="multilevel"/>
    <w:tmpl w:val="232A4C8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97537E"/>
    <w:multiLevelType w:val="hybridMultilevel"/>
    <w:tmpl w:val="4FEEC99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2F8323E"/>
    <w:multiLevelType w:val="hybridMultilevel"/>
    <w:tmpl w:val="72F0FDD6"/>
    <w:lvl w:ilvl="0" w:tplc="963ACA08">
      <w:start w:val="1"/>
      <w:numFmt w:val="bullet"/>
      <w:pStyle w:val="Dash"/>
      <w:lvlText w:val="–"/>
      <w:lvlJc w:val="left"/>
      <w:pPr>
        <w:ind w:left="1004" w:hanging="360"/>
      </w:pPr>
      <w:rPr>
        <w:rFonts w:ascii="Arial" w:hAnsi="Arial" w:hint="default"/>
        <w:color w:val="8C964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1">
    <w:nsid w:val="24A80BA9"/>
    <w:multiLevelType w:val="hybridMultilevel"/>
    <w:tmpl w:val="A1CC7D2C"/>
    <w:lvl w:ilvl="0" w:tplc="7B08869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50E3E98"/>
    <w:multiLevelType w:val="multilevel"/>
    <w:tmpl w:val="1A103F9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736C38"/>
    <w:multiLevelType w:val="multilevel"/>
    <w:tmpl w:val="BC209F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630BD0"/>
    <w:multiLevelType w:val="hybridMultilevel"/>
    <w:tmpl w:val="015A304C"/>
    <w:lvl w:ilvl="0" w:tplc="294A7B12">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B6E2DA9"/>
    <w:multiLevelType w:val="hybridMultilevel"/>
    <w:tmpl w:val="F2DED5DC"/>
    <w:lvl w:ilvl="0" w:tplc="DBDC0D82">
      <w:start w:val="1"/>
      <w:numFmt w:val="lowerLetter"/>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3BCE7F0F"/>
    <w:multiLevelType w:val="hybridMultilevel"/>
    <w:tmpl w:val="8C60A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E004491"/>
    <w:multiLevelType w:val="multilevel"/>
    <w:tmpl w:val="7F2E7C5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B31932"/>
    <w:multiLevelType w:val="hybridMultilevel"/>
    <w:tmpl w:val="7A405F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nsid w:val="41B465F9"/>
    <w:multiLevelType w:val="hybridMultilevel"/>
    <w:tmpl w:val="7ACA163A"/>
    <w:lvl w:ilvl="0" w:tplc="FFFFFFFF">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2E87294"/>
    <w:multiLevelType w:val="multilevel"/>
    <w:tmpl w:val="BD72438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D219B4"/>
    <w:multiLevelType w:val="multilevel"/>
    <w:tmpl w:val="956616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B967775"/>
    <w:multiLevelType w:val="hybridMultilevel"/>
    <w:tmpl w:val="221CFD5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2AB37EA"/>
    <w:multiLevelType w:val="multilevel"/>
    <w:tmpl w:val="9FA85DB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540A25"/>
    <w:multiLevelType w:val="hybridMultilevel"/>
    <w:tmpl w:val="1442A3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nsid w:val="59FB2D28"/>
    <w:multiLevelType w:val="multilevel"/>
    <w:tmpl w:val="1BE6C37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6D6002"/>
    <w:multiLevelType w:val="hybridMultilevel"/>
    <w:tmpl w:val="DBEED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B7154CA"/>
    <w:multiLevelType w:val="multilevel"/>
    <w:tmpl w:val="CBDC69F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9E000F"/>
    <w:multiLevelType w:val="hybridMultilevel"/>
    <w:tmpl w:val="C6845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60AE41DA"/>
    <w:multiLevelType w:val="hybridMultilevel"/>
    <w:tmpl w:val="401E16C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611A60A0"/>
    <w:multiLevelType w:val="hybridMultilevel"/>
    <w:tmpl w:val="4FEEC99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614024C9"/>
    <w:multiLevelType w:val="hybridMultilevel"/>
    <w:tmpl w:val="E4F4F2BA"/>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36261C5"/>
    <w:multiLevelType w:val="hybridMultilevel"/>
    <w:tmpl w:val="1C6A77D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nsid w:val="64915D51"/>
    <w:multiLevelType w:val="multilevel"/>
    <w:tmpl w:val="C818DE44"/>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4AD0456"/>
    <w:multiLevelType w:val="hybridMultilevel"/>
    <w:tmpl w:val="FE9AE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50E1207"/>
    <w:multiLevelType w:val="multilevel"/>
    <w:tmpl w:val="924E4032"/>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9A47A67"/>
    <w:multiLevelType w:val="multilevel"/>
    <w:tmpl w:val="4A6C7FC4"/>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07CC9"/>
    <w:multiLevelType w:val="hybridMultilevel"/>
    <w:tmpl w:val="DA241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D645BFC"/>
    <w:multiLevelType w:val="hybridMultilevel"/>
    <w:tmpl w:val="29E20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242722"/>
    <w:multiLevelType w:val="hybridMultilevel"/>
    <w:tmpl w:val="A1CC7D2C"/>
    <w:lvl w:ilvl="0" w:tplc="7B08869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6FB8415A"/>
    <w:multiLevelType w:val="multilevel"/>
    <w:tmpl w:val="ADA0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493103"/>
    <w:multiLevelType w:val="multilevel"/>
    <w:tmpl w:val="B1EC328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876269"/>
    <w:multiLevelType w:val="hybridMultilevel"/>
    <w:tmpl w:val="243A3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AE86F15"/>
    <w:multiLevelType w:val="hybridMultilevel"/>
    <w:tmpl w:val="9E56D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BE02181"/>
    <w:multiLevelType w:val="multilevel"/>
    <w:tmpl w:val="0F7C5EB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1218D3"/>
    <w:multiLevelType w:val="singleLevel"/>
    <w:tmpl w:val="CC0C91EA"/>
    <w:lvl w:ilvl="0">
      <w:start w:val="1"/>
      <w:numFmt w:val="bullet"/>
      <w:pStyle w:val="Bullet"/>
      <w:lvlText w:val=""/>
      <w:lvlJc w:val="left"/>
      <w:pPr>
        <w:ind w:left="360" w:hanging="360"/>
      </w:pPr>
      <w:rPr>
        <w:rFonts w:ascii="Symbol" w:hAnsi="Symbol" w:hint="default"/>
        <w:color w:val="8C9640"/>
        <w:sz w:val="18"/>
      </w:rPr>
    </w:lvl>
  </w:abstractNum>
  <w:abstractNum w:abstractNumId="46">
    <w:nsid w:val="7FCA4045"/>
    <w:multiLevelType w:val="multilevel"/>
    <w:tmpl w:val="9FA85DB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2"/>
  </w:num>
  <w:num w:numId="2">
    <w:abstractNumId w:val="36"/>
  </w:num>
  <w:num w:numId="3">
    <w:abstractNumId w:val="20"/>
  </w:num>
  <w:num w:numId="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numFmt w:val="bullet"/>
        <w:lvlText w:val=""/>
        <w:legacy w:legacy="1" w:legacySpace="0" w:legacyIndent="0"/>
        <w:lvlJc w:val="left"/>
        <w:rPr>
          <w:rFonts w:ascii="Symbol" w:hAnsi="Symbol" w:hint="default"/>
          <w:sz w:val="24"/>
        </w:rPr>
      </w:lvl>
    </w:lvlOverride>
  </w:num>
  <w:num w:numId="8">
    <w:abstractNumId w:val="7"/>
  </w:num>
  <w:num w:numId="9">
    <w:abstractNumId w:val="38"/>
  </w:num>
  <w:num w:numId="10">
    <w:abstractNumId w:val="12"/>
  </w:num>
  <w:num w:numId="11">
    <w:abstractNumId w:val="21"/>
  </w:num>
  <w:num w:numId="12">
    <w:abstractNumId w:val="14"/>
  </w:num>
  <w:num w:numId="13">
    <w:abstractNumId w:val="23"/>
  </w:num>
  <w:num w:numId="14">
    <w:abstractNumId w:val="46"/>
  </w:num>
  <w:num w:numId="15">
    <w:abstractNumId w:val="19"/>
  </w:num>
  <w:num w:numId="16">
    <w:abstractNumId w:val="2"/>
  </w:num>
  <w:num w:numId="17">
    <w:abstractNumId w:val="35"/>
  </w:num>
  <w:num w:numId="18">
    <w:abstractNumId w:val="33"/>
  </w:num>
  <w:num w:numId="19">
    <w:abstractNumId w:val="16"/>
  </w:num>
  <w:num w:numId="20">
    <w:abstractNumId w:val="6"/>
  </w:num>
  <w:num w:numId="21">
    <w:abstractNumId w:val="45"/>
  </w:num>
  <w:num w:numId="22">
    <w:abstractNumId w:val="3"/>
  </w:num>
  <w:num w:numId="23">
    <w:abstractNumId w:val="28"/>
  </w:num>
  <w:num w:numId="24">
    <w:abstractNumId w:val="27"/>
  </w:num>
  <w:num w:numId="25">
    <w:abstractNumId w:val="4"/>
  </w:num>
  <w:num w:numId="26">
    <w:abstractNumId w:val="44"/>
  </w:num>
  <w:num w:numId="27">
    <w:abstractNumId w:val="17"/>
  </w:num>
  <w:num w:numId="28">
    <w:abstractNumId w:val="8"/>
  </w:num>
  <w:num w:numId="29">
    <w:abstractNumId w:val="5"/>
  </w:num>
  <w:num w:numId="30">
    <w:abstractNumId w:val="29"/>
  </w:num>
  <w:num w:numId="31">
    <w:abstractNumId w:val="31"/>
  </w:num>
  <w:num w:numId="32">
    <w:abstractNumId w:val="22"/>
  </w:num>
  <w:num w:numId="33">
    <w:abstractNumId w:val="39"/>
  </w:num>
  <w:num w:numId="34">
    <w:abstractNumId w:val="32"/>
  </w:num>
  <w:num w:numId="35">
    <w:abstractNumId w:val="9"/>
  </w:num>
  <w:num w:numId="36">
    <w:abstractNumId w:val="15"/>
  </w:num>
  <w:num w:numId="37">
    <w:abstractNumId w:val="30"/>
  </w:num>
  <w:num w:numId="38">
    <w:abstractNumId w:val="26"/>
  </w:num>
  <w:num w:numId="39">
    <w:abstractNumId w:val="0"/>
  </w:num>
  <w:num w:numId="40">
    <w:abstractNumId w:val="11"/>
  </w:num>
  <w:num w:numId="41">
    <w:abstractNumId w:val="43"/>
  </w:num>
  <w:num w:numId="42">
    <w:abstractNumId w:val="13"/>
  </w:num>
  <w:num w:numId="43">
    <w:abstractNumId w:val="41"/>
  </w:num>
  <w:num w:numId="44">
    <w:abstractNumId w:val="25"/>
  </w:num>
  <w:num w:numId="45">
    <w:abstractNumId w:val="37"/>
  </w:num>
  <w:num w:numId="46">
    <w:abstractNumId w:val="34"/>
  </w:num>
  <w:num w:numId="47">
    <w:abstractNumId w:val="24"/>
  </w:num>
  <w:num w:numId="48">
    <w:abstractNumId w:val="40"/>
  </w:num>
  <w:num w:numId="49">
    <w:abstractNumId w:val="1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91"/>
    <w:rsid w:val="000024C5"/>
    <w:rsid w:val="000038E6"/>
    <w:rsid w:val="00003BFF"/>
    <w:rsid w:val="00004375"/>
    <w:rsid w:val="000077D0"/>
    <w:rsid w:val="000124C5"/>
    <w:rsid w:val="00012B63"/>
    <w:rsid w:val="00012EE5"/>
    <w:rsid w:val="00013432"/>
    <w:rsid w:val="000140D5"/>
    <w:rsid w:val="00014353"/>
    <w:rsid w:val="000155E0"/>
    <w:rsid w:val="00016EDD"/>
    <w:rsid w:val="00020006"/>
    <w:rsid w:val="00022102"/>
    <w:rsid w:val="000227A2"/>
    <w:rsid w:val="00023206"/>
    <w:rsid w:val="00023F13"/>
    <w:rsid w:val="00026723"/>
    <w:rsid w:val="00027984"/>
    <w:rsid w:val="000279F0"/>
    <w:rsid w:val="00030EC5"/>
    <w:rsid w:val="000358BE"/>
    <w:rsid w:val="00036932"/>
    <w:rsid w:val="00043419"/>
    <w:rsid w:val="000453E8"/>
    <w:rsid w:val="000458E3"/>
    <w:rsid w:val="0004610B"/>
    <w:rsid w:val="000545E1"/>
    <w:rsid w:val="00056FBE"/>
    <w:rsid w:val="00057F32"/>
    <w:rsid w:val="00062D28"/>
    <w:rsid w:val="0006346C"/>
    <w:rsid w:val="00065FD8"/>
    <w:rsid w:val="00070AFA"/>
    <w:rsid w:val="000758F6"/>
    <w:rsid w:val="000767CA"/>
    <w:rsid w:val="00076F68"/>
    <w:rsid w:val="000779A0"/>
    <w:rsid w:val="00081915"/>
    <w:rsid w:val="00085343"/>
    <w:rsid w:val="0008595F"/>
    <w:rsid w:val="00092BD0"/>
    <w:rsid w:val="00093282"/>
    <w:rsid w:val="000948F1"/>
    <w:rsid w:val="00095EE4"/>
    <w:rsid w:val="00096E2A"/>
    <w:rsid w:val="000A039D"/>
    <w:rsid w:val="000A104A"/>
    <w:rsid w:val="000A1EC1"/>
    <w:rsid w:val="000A28D3"/>
    <w:rsid w:val="000A4094"/>
    <w:rsid w:val="000A4394"/>
    <w:rsid w:val="000B0B43"/>
    <w:rsid w:val="000B1BA8"/>
    <w:rsid w:val="000B3774"/>
    <w:rsid w:val="000C0838"/>
    <w:rsid w:val="000C0CB8"/>
    <w:rsid w:val="000C0F97"/>
    <w:rsid w:val="000C1228"/>
    <w:rsid w:val="000C2A57"/>
    <w:rsid w:val="000C36AA"/>
    <w:rsid w:val="000C409F"/>
    <w:rsid w:val="000C416C"/>
    <w:rsid w:val="000C65A4"/>
    <w:rsid w:val="000D08DC"/>
    <w:rsid w:val="000D321C"/>
    <w:rsid w:val="000D58CB"/>
    <w:rsid w:val="000D58D6"/>
    <w:rsid w:val="000D74C8"/>
    <w:rsid w:val="000E4F97"/>
    <w:rsid w:val="000E5BC3"/>
    <w:rsid w:val="000E7F23"/>
    <w:rsid w:val="000F0563"/>
    <w:rsid w:val="000F06C3"/>
    <w:rsid w:val="000F1E56"/>
    <w:rsid w:val="000F7254"/>
    <w:rsid w:val="000F7C92"/>
    <w:rsid w:val="00103BD0"/>
    <w:rsid w:val="001068E9"/>
    <w:rsid w:val="00112517"/>
    <w:rsid w:val="00113299"/>
    <w:rsid w:val="00114ED3"/>
    <w:rsid w:val="00115929"/>
    <w:rsid w:val="00115B5F"/>
    <w:rsid w:val="00120583"/>
    <w:rsid w:val="0012318A"/>
    <w:rsid w:val="001331CF"/>
    <w:rsid w:val="001375E2"/>
    <w:rsid w:val="00140200"/>
    <w:rsid w:val="00141991"/>
    <w:rsid w:val="00144330"/>
    <w:rsid w:val="00151BCC"/>
    <w:rsid w:val="001525F1"/>
    <w:rsid w:val="00153392"/>
    <w:rsid w:val="0015353F"/>
    <w:rsid w:val="00153838"/>
    <w:rsid w:val="001540A4"/>
    <w:rsid w:val="001544C9"/>
    <w:rsid w:val="0016046F"/>
    <w:rsid w:val="001623D1"/>
    <w:rsid w:val="0016526B"/>
    <w:rsid w:val="001726CC"/>
    <w:rsid w:val="001736EC"/>
    <w:rsid w:val="00173756"/>
    <w:rsid w:val="001738D4"/>
    <w:rsid w:val="001757D8"/>
    <w:rsid w:val="0017736D"/>
    <w:rsid w:val="0018018F"/>
    <w:rsid w:val="00181215"/>
    <w:rsid w:val="00182D3D"/>
    <w:rsid w:val="001856FC"/>
    <w:rsid w:val="00185725"/>
    <w:rsid w:val="00186EAC"/>
    <w:rsid w:val="00191548"/>
    <w:rsid w:val="0019410A"/>
    <w:rsid w:val="001947F9"/>
    <w:rsid w:val="00196661"/>
    <w:rsid w:val="00196D2F"/>
    <w:rsid w:val="001A0247"/>
    <w:rsid w:val="001A2696"/>
    <w:rsid w:val="001A4721"/>
    <w:rsid w:val="001A5030"/>
    <w:rsid w:val="001A6A91"/>
    <w:rsid w:val="001B2172"/>
    <w:rsid w:val="001B3414"/>
    <w:rsid w:val="001B55AB"/>
    <w:rsid w:val="001B7019"/>
    <w:rsid w:val="001C40B8"/>
    <w:rsid w:val="001C6821"/>
    <w:rsid w:val="001D0CE1"/>
    <w:rsid w:val="001D1CAB"/>
    <w:rsid w:val="001D42A4"/>
    <w:rsid w:val="001D4FCA"/>
    <w:rsid w:val="001D61A6"/>
    <w:rsid w:val="001D76A2"/>
    <w:rsid w:val="001E083F"/>
    <w:rsid w:val="001E2030"/>
    <w:rsid w:val="001E388F"/>
    <w:rsid w:val="001E5599"/>
    <w:rsid w:val="001E6B2D"/>
    <w:rsid w:val="001E72B5"/>
    <w:rsid w:val="001E7687"/>
    <w:rsid w:val="001E76D7"/>
    <w:rsid w:val="001F0D28"/>
    <w:rsid w:val="001F1F14"/>
    <w:rsid w:val="001F2F86"/>
    <w:rsid w:val="001F3C15"/>
    <w:rsid w:val="001F5E65"/>
    <w:rsid w:val="00201105"/>
    <w:rsid w:val="00202126"/>
    <w:rsid w:val="00202FB4"/>
    <w:rsid w:val="00205AD3"/>
    <w:rsid w:val="00206D85"/>
    <w:rsid w:val="00207C7C"/>
    <w:rsid w:val="00207EEE"/>
    <w:rsid w:val="00210257"/>
    <w:rsid w:val="00212128"/>
    <w:rsid w:val="00217F3B"/>
    <w:rsid w:val="002212FF"/>
    <w:rsid w:val="00223347"/>
    <w:rsid w:val="0022558A"/>
    <w:rsid w:val="0022724F"/>
    <w:rsid w:val="0022765A"/>
    <w:rsid w:val="00230D21"/>
    <w:rsid w:val="00230E05"/>
    <w:rsid w:val="00232F5B"/>
    <w:rsid w:val="00234D81"/>
    <w:rsid w:val="00235148"/>
    <w:rsid w:val="00235810"/>
    <w:rsid w:val="00242BB7"/>
    <w:rsid w:val="0024393D"/>
    <w:rsid w:val="002450DE"/>
    <w:rsid w:val="0024744A"/>
    <w:rsid w:val="00250B6C"/>
    <w:rsid w:val="00256DA3"/>
    <w:rsid w:val="0026137F"/>
    <w:rsid w:val="00263B16"/>
    <w:rsid w:val="00264A93"/>
    <w:rsid w:val="0026780D"/>
    <w:rsid w:val="0027267C"/>
    <w:rsid w:val="00273879"/>
    <w:rsid w:val="0027643D"/>
    <w:rsid w:val="00277C23"/>
    <w:rsid w:val="002822EC"/>
    <w:rsid w:val="00282ABF"/>
    <w:rsid w:val="002834F2"/>
    <w:rsid w:val="00283D47"/>
    <w:rsid w:val="002848BF"/>
    <w:rsid w:val="00284F8F"/>
    <w:rsid w:val="0029047E"/>
    <w:rsid w:val="00291CE9"/>
    <w:rsid w:val="0029260B"/>
    <w:rsid w:val="0029478A"/>
    <w:rsid w:val="00295E5B"/>
    <w:rsid w:val="002A53B7"/>
    <w:rsid w:val="002A5DD1"/>
    <w:rsid w:val="002B402D"/>
    <w:rsid w:val="002B4F98"/>
    <w:rsid w:val="002B504A"/>
    <w:rsid w:val="002B6560"/>
    <w:rsid w:val="002B6A3D"/>
    <w:rsid w:val="002C2882"/>
    <w:rsid w:val="002C4E8E"/>
    <w:rsid w:val="002C6123"/>
    <w:rsid w:val="002D0060"/>
    <w:rsid w:val="002D0608"/>
    <w:rsid w:val="002D3ADB"/>
    <w:rsid w:val="002D472A"/>
    <w:rsid w:val="002D5033"/>
    <w:rsid w:val="002D5737"/>
    <w:rsid w:val="002D59EA"/>
    <w:rsid w:val="002D7158"/>
    <w:rsid w:val="002E61CB"/>
    <w:rsid w:val="002F36F4"/>
    <w:rsid w:val="002F73E3"/>
    <w:rsid w:val="003027D0"/>
    <w:rsid w:val="00302F8A"/>
    <w:rsid w:val="003037E3"/>
    <w:rsid w:val="003053D2"/>
    <w:rsid w:val="003102D8"/>
    <w:rsid w:val="00311017"/>
    <w:rsid w:val="003128DA"/>
    <w:rsid w:val="00313CFA"/>
    <w:rsid w:val="00315690"/>
    <w:rsid w:val="003156F5"/>
    <w:rsid w:val="00316F92"/>
    <w:rsid w:val="00321874"/>
    <w:rsid w:val="0032224F"/>
    <w:rsid w:val="003237EF"/>
    <w:rsid w:val="00330785"/>
    <w:rsid w:val="00340F2F"/>
    <w:rsid w:val="00345C2A"/>
    <w:rsid w:val="00345DD8"/>
    <w:rsid w:val="003531DA"/>
    <w:rsid w:val="003542D0"/>
    <w:rsid w:val="0036177F"/>
    <w:rsid w:val="00363EA2"/>
    <w:rsid w:val="00364C92"/>
    <w:rsid w:val="003659C7"/>
    <w:rsid w:val="00365C1F"/>
    <w:rsid w:val="003704C3"/>
    <w:rsid w:val="00372BE9"/>
    <w:rsid w:val="00374839"/>
    <w:rsid w:val="003770A4"/>
    <w:rsid w:val="00377E46"/>
    <w:rsid w:val="00384A57"/>
    <w:rsid w:val="00385770"/>
    <w:rsid w:val="00391C70"/>
    <w:rsid w:val="003942C6"/>
    <w:rsid w:val="00395A43"/>
    <w:rsid w:val="003A02C9"/>
    <w:rsid w:val="003A0A33"/>
    <w:rsid w:val="003A0D14"/>
    <w:rsid w:val="003A369A"/>
    <w:rsid w:val="003A3F61"/>
    <w:rsid w:val="003A44A3"/>
    <w:rsid w:val="003A4DAC"/>
    <w:rsid w:val="003A79CF"/>
    <w:rsid w:val="003A7FB0"/>
    <w:rsid w:val="003B08FE"/>
    <w:rsid w:val="003B16B6"/>
    <w:rsid w:val="003B395F"/>
    <w:rsid w:val="003B60A4"/>
    <w:rsid w:val="003B7D3A"/>
    <w:rsid w:val="003C0562"/>
    <w:rsid w:val="003C6166"/>
    <w:rsid w:val="003C70F2"/>
    <w:rsid w:val="003C7A1E"/>
    <w:rsid w:val="003D5E51"/>
    <w:rsid w:val="003E1CB3"/>
    <w:rsid w:val="003E290F"/>
    <w:rsid w:val="003E714E"/>
    <w:rsid w:val="003F1335"/>
    <w:rsid w:val="003F4A8B"/>
    <w:rsid w:val="003F5413"/>
    <w:rsid w:val="003F5BCC"/>
    <w:rsid w:val="003F7054"/>
    <w:rsid w:val="00401CEB"/>
    <w:rsid w:val="0040497C"/>
    <w:rsid w:val="00405AFA"/>
    <w:rsid w:val="004102E6"/>
    <w:rsid w:val="00416D89"/>
    <w:rsid w:val="00416E14"/>
    <w:rsid w:val="00420464"/>
    <w:rsid w:val="004207B6"/>
    <w:rsid w:val="00422605"/>
    <w:rsid w:val="004270CC"/>
    <w:rsid w:val="00436852"/>
    <w:rsid w:val="004407E0"/>
    <w:rsid w:val="004416DD"/>
    <w:rsid w:val="00444E6A"/>
    <w:rsid w:val="004513B2"/>
    <w:rsid w:val="0045604D"/>
    <w:rsid w:val="00456985"/>
    <w:rsid w:val="004602CB"/>
    <w:rsid w:val="00460688"/>
    <w:rsid w:val="0046226C"/>
    <w:rsid w:val="00462295"/>
    <w:rsid w:val="00462C0E"/>
    <w:rsid w:val="00465A03"/>
    <w:rsid w:val="00466956"/>
    <w:rsid w:val="00466C87"/>
    <w:rsid w:val="00472F79"/>
    <w:rsid w:val="00474BD2"/>
    <w:rsid w:val="004754AC"/>
    <w:rsid w:val="00480058"/>
    <w:rsid w:val="004812C2"/>
    <w:rsid w:val="00482AE0"/>
    <w:rsid w:val="00483292"/>
    <w:rsid w:val="004850DE"/>
    <w:rsid w:val="0048650A"/>
    <w:rsid w:val="0048703B"/>
    <w:rsid w:val="004918C6"/>
    <w:rsid w:val="00491DDC"/>
    <w:rsid w:val="00494B81"/>
    <w:rsid w:val="00495EFE"/>
    <w:rsid w:val="004A12B7"/>
    <w:rsid w:val="004A2884"/>
    <w:rsid w:val="004B07EB"/>
    <w:rsid w:val="004B4A8B"/>
    <w:rsid w:val="004C1B88"/>
    <w:rsid w:val="004C23AA"/>
    <w:rsid w:val="004C2D3C"/>
    <w:rsid w:val="004C4091"/>
    <w:rsid w:val="004D13E8"/>
    <w:rsid w:val="004D1D65"/>
    <w:rsid w:val="004D4D9B"/>
    <w:rsid w:val="004D5F3A"/>
    <w:rsid w:val="004D6CB8"/>
    <w:rsid w:val="004E4604"/>
    <w:rsid w:val="004E5E55"/>
    <w:rsid w:val="004E699A"/>
    <w:rsid w:val="004F4DE0"/>
    <w:rsid w:val="00500840"/>
    <w:rsid w:val="00500A1A"/>
    <w:rsid w:val="00505A59"/>
    <w:rsid w:val="005077BA"/>
    <w:rsid w:val="00513E38"/>
    <w:rsid w:val="00515D2D"/>
    <w:rsid w:val="0051670C"/>
    <w:rsid w:val="005237D2"/>
    <w:rsid w:val="00524598"/>
    <w:rsid w:val="00524F2C"/>
    <w:rsid w:val="00526134"/>
    <w:rsid w:val="00531029"/>
    <w:rsid w:val="0053220B"/>
    <w:rsid w:val="00533396"/>
    <w:rsid w:val="00536782"/>
    <w:rsid w:val="00536BD1"/>
    <w:rsid w:val="00536CC7"/>
    <w:rsid w:val="005370E6"/>
    <w:rsid w:val="0054020A"/>
    <w:rsid w:val="00542BEF"/>
    <w:rsid w:val="00552C2C"/>
    <w:rsid w:val="00554571"/>
    <w:rsid w:val="00554FDC"/>
    <w:rsid w:val="005555BC"/>
    <w:rsid w:val="00557202"/>
    <w:rsid w:val="005577B1"/>
    <w:rsid w:val="00560189"/>
    <w:rsid w:val="0056129C"/>
    <w:rsid w:val="0056153B"/>
    <w:rsid w:val="00562514"/>
    <w:rsid w:val="00563AEE"/>
    <w:rsid w:val="005646CD"/>
    <w:rsid w:val="00565BA9"/>
    <w:rsid w:val="00566142"/>
    <w:rsid w:val="005701CD"/>
    <w:rsid w:val="00570712"/>
    <w:rsid w:val="00570F10"/>
    <w:rsid w:val="00572E27"/>
    <w:rsid w:val="00573636"/>
    <w:rsid w:val="005738B0"/>
    <w:rsid w:val="00580C7D"/>
    <w:rsid w:val="00580C95"/>
    <w:rsid w:val="00582E58"/>
    <w:rsid w:val="00585518"/>
    <w:rsid w:val="005878B2"/>
    <w:rsid w:val="005965EB"/>
    <w:rsid w:val="00597448"/>
    <w:rsid w:val="005A42DE"/>
    <w:rsid w:val="005B06C8"/>
    <w:rsid w:val="005B200D"/>
    <w:rsid w:val="005B3A71"/>
    <w:rsid w:val="005B4C85"/>
    <w:rsid w:val="005B52B3"/>
    <w:rsid w:val="005B6C20"/>
    <w:rsid w:val="005C23DB"/>
    <w:rsid w:val="005C3E86"/>
    <w:rsid w:val="005C52ED"/>
    <w:rsid w:val="005C63D3"/>
    <w:rsid w:val="005D167A"/>
    <w:rsid w:val="005D21D3"/>
    <w:rsid w:val="005D3739"/>
    <w:rsid w:val="005D4148"/>
    <w:rsid w:val="005D5EB2"/>
    <w:rsid w:val="005D6636"/>
    <w:rsid w:val="005D6F29"/>
    <w:rsid w:val="005D71D1"/>
    <w:rsid w:val="005E52AE"/>
    <w:rsid w:val="005E5B33"/>
    <w:rsid w:val="005E77C8"/>
    <w:rsid w:val="005E7AB5"/>
    <w:rsid w:val="005F2431"/>
    <w:rsid w:val="005F634C"/>
    <w:rsid w:val="00605350"/>
    <w:rsid w:val="006068EF"/>
    <w:rsid w:val="006076A8"/>
    <w:rsid w:val="00607C5E"/>
    <w:rsid w:val="00607E26"/>
    <w:rsid w:val="006113BF"/>
    <w:rsid w:val="00614F38"/>
    <w:rsid w:val="006162D5"/>
    <w:rsid w:val="00617EE9"/>
    <w:rsid w:val="0062434B"/>
    <w:rsid w:val="006307D2"/>
    <w:rsid w:val="00631066"/>
    <w:rsid w:val="00632CB0"/>
    <w:rsid w:val="00636444"/>
    <w:rsid w:val="006368DC"/>
    <w:rsid w:val="006376C8"/>
    <w:rsid w:val="00637CC2"/>
    <w:rsid w:val="00640EE6"/>
    <w:rsid w:val="00643EBE"/>
    <w:rsid w:val="00647794"/>
    <w:rsid w:val="00653790"/>
    <w:rsid w:val="006564A8"/>
    <w:rsid w:val="00660BF0"/>
    <w:rsid w:val="006639BB"/>
    <w:rsid w:val="00666374"/>
    <w:rsid w:val="00666AD0"/>
    <w:rsid w:val="00666EE1"/>
    <w:rsid w:val="006710EF"/>
    <w:rsid w:val="00671C1C"/>
    <w:rsid w:val="00673FCE"/>
    <w:rsid w:val="006749C8"/>
    <w:rsid w:val="00674C9F"/>
    <w:rsid w:val="00684E99"/>
    <w:rsid w:val="006872E0"/>
    <w:rsid w:val="00690593"/>
    <w:rsid w:val="0069110F"/>
    <w:rsid w:val="00694082"/>
    <w:rsid w:val="0069558F"/>
    <w:rsid w:val="006A52BE"/>
    <w:rsid w:val="006A6299"/>
    <w:rsid w:val="006A69AA"/>
    <w:rsid w:val="006A6C84"/>
    <w:rsid w:val="006A7748"/>
    <w:rsid w:val="006A77F9"/>
    <w:rsid w:val="006A7854"/>
    <w:rsid w:val="006B237C"/>
    <w:rsid w:val="006B72B5"/>
    <w:rsid w:val="006C0A31"/>
    <w:rsid w:val="006C1B90"/>
    <w:rsid w:val="006C26A1"/>
    <w:rsid w:val="006C29B3"/>
    <w:rsid w:val="006C3293"/>
    <w:rsid w:val="006C37AD"/>
    <w:rsid w:val="006C47EA"/>
    <w:rsid w:val="006C4B86"/>
    <w:rsid w:val="006D1BA5"/>
    <w:rsid w:val="006D280A"/>
    <w:rsid w:val="006D36FF"/>
    <w:rsid w:val="006D3A14"/>
    <w:rsid w:val="006D58F1"/>
    <w:rsid w:val="006D748F"/>
    <w:rsid w:val="006D7B24"/>
    <w:rsid w:val="006E0543"/>
    <w:rsid w:val="006E098D"/>
    <w:rsid w:val="006E44FA"/>
    <w:rsid w:val="006E5396"/>
    <w:rsid w:val="006E5BD6"/>
    <w:rsid w:val="006E7C35"/>
    <w:rsid w:val="006F5650"/>
    <w:rsid w:val="006F735B"/>
    <w:rsid w:val="00711CD3"/>
    <w:rsid w:val="00712A59"/>
    <w:rsid w:val="0071595F"/>
    <w:rsid w:val="00715FAF"/>
    <w:rsid w:val="0071643A"/>
    <w:rsid w:val="00716E0B"/>
    <w:rsid w:val="007205E8"/>
    <w:rsid w:val="007231B7"/>
    <w:rsid w:val="007279AC"/>
    <w:rsid w:val="00730CC6"/>
    <w:rsid w:val="007401AC"/>
    <w:rsid w:val="00740A25"/>
    <w:rsid w:val="00742C86"/>
    <w:rsid w:val="00745447"/>
    <w:rsid w:val="007530D3"/>
    <w:rsid w:val="00753DB1"/>
    <w:rsid w:val="00756A9F"/>
    <w:rsid w:val="00756C2D"/>
    <w:rsid w:val="00761F9B"/>
    <w:rsid w:val="00762271"/>
    <w:rsid w:val="00764F81"/>
    <w:rsid w:val="00771408"/>
    <w:rsid w:val="007717A7"/>
    <w:rsid w:val="0077315C"/>
    <w:rsid w:val="007742F2"/>
    <w:rsid w:val="00780FAC"/>
    <w:rsid w:val="00784D71"/>
    <w:rsid w:val="00785260"/>
    <w:rsid w:val="00785A6E"/>
    <w:rsid w:val="00787A74"/>
    <w:rsid w:val="00787B6D"/>
    <w:rsid w:val="00787EFF"/>
    <w:rsid w:val="00790D7E"/>
    <w:rsid w:val="00794839"/>
    <w:rsid w:val="00795915"/>
    <w:rsid w:val="007959A6"/>
    <w:rsid w:val="00797A3D"/>
    <w:rsid w:val="007A0231"/>
    <w:rsid w:val="007A37ED"/>
    <w:rsid w:val="007A4A8A"/>
    <w:rsid w:val="007B2F34"/>
    <w:rsid w:val="007B5F4C"/>
    <w:rsid w:val="007C4AD5"/>
    <w:rsid w:val="007C4C3A"/>
    <w:rsid w:val="007C7A11"/>
    <w:rsid w:val="007D24B9"/>
    <w:rsid w:val="007D3FC4"/>
    <w:rsid w:val="007D42AB"/>
    <w:rsid w:val="007D5E7B"/>
    <w:rsid w:val="007E08A2"/>
    <w:rsid w:val="007E0B22"/>
    <w:rsid w:val="007E2BF9"/>
    <w:rsid w:val="007E2C29"/>
    <w:rsid w:val="007E320E"/>
    <w:rsid w:val="007E5A69"/>
    <w:rsid w:val="007E7A7E"/>
    <w:rsid w:val="007F01C8"/>
    <w:rsid w:val="007F06CF"/>
    <w:rsid w:val="007F36E4"/>
    <w:rsid w:val="007F4105"/>
    <w:rsid w:val="007F4F59"/>
    <w:rsid w:val="007F51A2"/>
    <w:rsid w:val="008006FE"/>
    <w:rsid w:val="008007AC"/>
    <w:rsid w:val="008054D4"/>
    <w:rsid w:val="00805794"/>
    <w:rsid w:val="0080594E"/>
    <w:rsid w:val="0080730C"/>
    <w:rsid w:val="008077E1"/>
    <w:rsid w:val="00811201"/>
    <w:rsid w:val="00813380"/>
    <w:rsid w:val="0081690D"/>
    <w:rsid w:val="00816918"/>
    <w:rsid w:val="00822977"/>
    <w:rsid w:val="00825450"/>
    <w:rsid w:val="00825A29"/>
    <w:rsid w:val="00827045"/>
    <w:rsid w:val="0083037C"/>
    <w:rsid w:val="00832636"/>
    <w:rsid w:val="00832B5B"/>
    <w:rsid w:val="00834C62"/>
    <w:rsid w:val="008401BC"/>
    <w:rsid w:val="00841E72"/>
    <w:rsid w:val="008425B3"/>
    <w:rsid w:val="00843DE0"/>
    <w:rsid w:val="00843E92"/>
    <w:rsid w:val="008505E8"/>
    <w:rsid w:val="00853738"/>
    <w:rsid w:val="00853BCC"/>
    <w:rsid w:val="00854A34"/>
    <w:rsid w:val="0086549F"/>
    <w:rsid w:val="00867CC9"/>
    <w:rsid w:val="0087056B"/>
    <w:rsid w:val="00872710"/>
    <w:rsid w:val="00873A43"/>
    <w:rsid w:val="008759FA"/>
    <w:rsid w:val="00877491"/>
    <w:rsid w:val="00883E06"/>
    <w:rsid w:val="00885300"/>
    <w:rsid w:val="008910DB"/>
    <w:rsid w:val="00891176"/>
    <w:rsid w:val="0089301E"/>
    <w:rsid w:val="00893A3F"/>
    <w:rsid w:val="008A2228"/>
    <w:rsid w:val="008A3676"/>
    <w:rsid w:val="008A66DC"/>
    <w:rsid w:val="008B0A03"/>
    <w:rsid w:val="008C16B8"/>
    <w:rsid w:val="008C3769"/>
    <w:rsid w:val="008C4568"/>
    <w:rsid w:val="008C55AA"/>
    <w:rsid w:val="008D1632"/>
    <w:rsid w:val="008E6296"/>
    <w:rsid w:val="008F3C12"/>
    <w:rsid w:val="00901888"/>
    <w:rsid w:val="00902179"/>
    <w:rsid w:val="00902BEB"/>
    <w:rsid w:val="009037F0"/>
    <w:rsid w:val="0090557A"/>
    <w:rsid w:val="0091069B"/>
    <w:rsid w:val="00910ADA"/>
    <w:rsid w:val="009119EB"/>
    <w:rsid w:val="00913EAB"/>
    <w:rsid w:val="00914D12"/>
    <w:rsid w:val="00915A7F"/>
    <w:rsid w:val="009255B8"/>
    <w:rsid w:val="00925A72"/>
    <w:rsid w:val="009337F8"/>
    <w:rsid w:val="00934DD0"/>
    <w:rsid w:val="00945732"/>
    <w:rsid w:val="0094611A"/>
    <w:rsid w:val="00952263"/>
    <w:rsid w:val="00953018"/>
    <w:rsid w:val="00953500"/>
    <w:rsid w:val="00953D7C"/>
    <w:rsid w:val="00955F67"/>
    <w:rsid w:val="00956360"/>
    <w:rsid w:val="00960DFA"/>
    <w:rsid w:val="009622F3"/>
    <w:rsid w:val="00963BA0"/>
    <w:rsid w:val="00966493"/>
    <w:rsid w:val="00970528"/>
    <w:rsid w:val="00971FE5"/>
    <w:rsid w:val="0097225D"/>
    <w:rsid w:val="009729B4"/>
    <w:rsid w:val="00975026"/>
    <w:rsid w:val="009755B8"/>
    <w:rsid w:val="00976664"/>
    <w:rsid w:val="00980925"/>
    <w:rsid w:val="0098124B"/>
    <w:rsid w:val="0098397D"/>
    <w:rsid w:val="00983C52"/>
    <w:rsid w:val="009905FD"/>
    <w:rsid w:val="00992568"/>
    <w:rsid w:val="00993142"/>
    <w:rsid w:val="009939D5"/>
    <w:rsid w:val="009947FF"/>
    <w:rsid w:val="00996888"/>
    <w:rsid w:val="00997657"/>
    <w:rsid w:val="009B0756"/>
    <w:rsid w:val="009B26C8"/>
    <w:rsid w:val="009B32A8"/>
    <w:rsid w:val="009B3C18"/>
    <w:rsid w:val="009B65B0"/>
    <w:rsid w:val="009B77AF"/>
    <w:rsid w:val="009C0322"/>
    <w:rsid w:val="009C0CF9"/>
    <w:rsid w:val="009C5409"/>
    <w:rsid w:val="009C5ACD"/>
    <w:rsid w:val="009C76D2"/>
    <w:rsid w:val="009C7B7D"/>
    <w:rsid w:val="009D0DB6"/>
    <w:rsid w:val="009D14C5"/>
    <w:rsid w:val="009D1F6D"/>
    <w:rsid w:val="009D3905"/>
    <w:rsid w:val="009D39A9"/>
    <w:rsid w:val="009D604A"/>
    <w:rsid w:val="009D68CC"/>
    <w:rsid w:val="009E3121"/>
    <w:rsid w:val="009E6916"/>
    <w:rsid w:val="009F054F"/>
    <w:rsid w:val="009F20F5"/>
    <w:rsid w:val="009F215D"/>
    <w:rsid w:val="009F2CCA"/>
    <w:rsid w:val="009F2E3C"/>
    <w:rsid w:val="009F5D8A"/>
    <w:rsid w:val="009F5F2E"/>
    <w:rsid w:val="009F6C17"/>
    <w:rsid w:val="00A00C24"/>
    <w:rsid w:val="00A04D3D"/>
    <w:rsid w:val="00A062BC"/>
    <w:rsid w:val="00A11FC0"/>
    <w:rsid w:val="00A13816"/>
    <w:rsid w:val="00A13E01"/>
    <w:rsid w:val="00A16C5B"/>
    <w:rsid w:val="00A20FAE"/>
    <w:rsid w:val="00A2250F"/>
    <w:rsid w:val="00A22A6D"/>
    <w:rsid w:val="00A22F0C"/>
    <w:rsid w:val="00A27BD5"/>
    <w:rsid w:val="00A305DC"/>
    <w:rsid w:val="00A31875"/>
    <w:rsid w:val="00A324BA"/>
    <w:rsid w:val="00A40AB5"/>
    <w:rsid w:val="00A40D55"/>
    <w:rsid w:val="00A4247F"/>
    <w:rsid w:val="00A429C8"/>
    <w:rsid w:val="00A450EA"/>
    <w:rsid w:val="00A464EB"/>
    <w:rsid w:val="00A503AC"/>
    <w:rsid w:val="00A5522D"/>
    <w:rsid w:val="00A5693B"/>
    <w:rsid w:val="00A6022E"/>
    <w:rsid w:val="00A6598B"/>
    <w:rsid w:val="00A67DB4"/>
    <w:rsid w:val="00A701DB"/>
    <w:rsid w:val="00A71501"/>
    <w:rsid w:val="00A71B62"/>
    <w:rsid w:val="00A7407E"/>
    <w:rsid w:val="00A748F1"/>
    <w:rsid w:val="00A75256"/>
    <w:rsid w:val="00A75FD4"/>
    <w:rsid w:val="00A80958"/>
    <w:rsid w:val="00A80FE3"/>
    <w:rsid w:val="00A8576A"/>
    <w:rsid w:val="00A87347"/>
    <w:rsid w:val="00A90840"/>
    <w:rsid w:val="00A9162F"/>
    <w:rsid w:val="00A934BF"/>
    <w:rsid w:val="00A96408"/>
    <w:rsid w:val="00A97F21"/>
    <w:rsid w:val="00AA3F18"/>
    <w:rsid w:val="00AA7B50"/>
    <w:rsid w:val="00AB3ABA"/>
    <w:rsid w:val="00AB68E1"/>
    <w:rsid w:val="00AB7B75"/>
    <w:rsid w:val="00AC42A5"/>
    <w:rsid w:val="00AD0437"/>
    <w:rsid w:val="00AD1D87"/>
    <w:rsid w:val="00AD394E"/>
    <w:rsid w:val="00AD5F7C"/>
    <w:rsid w:val="00AD6029"/>
    <w:rsid w:val="00AE0747"/>
    <w:rsid w:val="00AE0973"/>
    <w:rsid w:val="00AE2BBA"/>
    <w:rsid w:val="00AF13A0"/>
    <w:rsid w:val="00AF239A"/>
    <w:rsid w:val="00AF3172"/>
    <w:rsid w:val="00AF4061"/>
    <w:rsid w:val="00AF5A93"/>
    <w:rsid w:val="00AF6474"/>
    <w:rsid w:val="00B04D1D"/>
    <w:rsid w:val="00B11A31"/>
    <w:rsid w:val="00B11CCE"/>
    <w:rsid w:val="00B13DE2"/>
    <w:rsid w:val="00B15D44"/>
    <w:rsid w:val="00B16344"/>
    <w:rsid w:val="00B2097F"/>
    <w:rsid w:val="00B20CD1"/>
    <w:rsid w:val="00B21D1F"/>
    <w:rsid w:val="00B23817"/>
    <w:rsid w:val="00B253F7"/>
    <w:rsid w:val="00B3057B"/>
    <w:rsid w:val="00B34A6E"/>
    <w:rsid w:val="00B35ACA"/>
    <w:rsid w:val="00B366B4"/>
    <w:rsid w:val="00B40892"/>
    <w:rsid w:val="00B4133C"/>
    <w:rsid w:val="00B45C50"/>
    <w:rsid w:val="00B4610E"/>
    <w:rsid w:val="00B46696"/>
    <w:rsid w:val="00B477E1"/>
    <w:rsid w:val="00B47988"/>
    <w:rsid w:val="00B51D1C"/>
    <w:rsid w:val="00B52348"/>
    <w:rsid w:val="00B52E32"/>
    <w:rsid w:val="00B5376A"/>
    <w:rsid w:val="00B60BF7"/>
    <w:rsid w:val="00B62135"/>
    <w:rsid w:val="00B64133"/>
    <w:rsid w:val="00B6482E"/>
    <w:rsid w:val="00B65D5F"/>
    <w:rsid w:val="00B65E07"/>
    <w:rsid w:val="00B67354"/>
    <w:rsid w:val="00B67F2A"/>
    <w:rsid w:val="00B80046"/>
    <w:rsid w:val="00B818C0"/>
    <w:rsid w:val="00B83906"/>
    <w:rsid w:val="00B850E5"/>
    <w:rsid w:val="00B91807"/>
    <w:rsid w:val="00B9317A"/>
    <w:rsid w:val="00B93482"/>
    <w:rsid w:val="00B97E67"/>
    <w:rsid w:val="00BA24D8"/>
    <w:rsid w:val="00BA2A54"/>
    <w:rsid w:val="00BA49A7"/>
    <w:rsid w:val="00BA5D04"/>
    <w:rsid w:val="00BA7192"/>
    <w:rsid w:val="00BA7D44"/>
    <w:rsid w:val="00BA7F84"/>
    <w:rsid w:val="00BB0DD4"/>
    <w:rsid w:val="00BB592D"/>
    <w:rsid w:val="00BB65CF"/>
    <w:rsid w:val="00BB7205"/>
    <w:rsid w:val="00BC022D"/>
    <w:rsid w:val="00BC2258"/>
    <w:rsid w:val="00BC2ADB"/>
    <w:rsid w:val="00BC44AE"/>
    <w:rsid w:val="00BD0C37"/>
    <w:rsid w:val="00BD379E"/>
    <w:rsid w:val="00BD5302"/>
    <w:rsid w:val="00BD611C"/>
    <w:rsid w:val="00BD63DA"/>
    <w:rsid w:val="00BE1B8D"/>
    <w:rsid w:val="00BE2B6E"/>
    <w:rsid w:val="00BE38FD"/>
    <w:rsid w:val="00BE4D35"/>
    <w:rsid w:val="00BE5071"/>
    <w:rsid w:val="00BE77DA"/>
    <w:rsid w:val="00BF0C11"/>
    <w:rsid w:val="00BF1200"/>
    <w:rsid w:val="00BF2C98"/>
    <w:rsid w:val="00C0202B"/>
    <w:rsid w:val="00C020BA"/>
    <w:rsid w:val="00C0261A"/>
    <w:rsid w:val="00C037E7"/>
    <w:rsid w:val="00C054AF"/>
    <w:rsid w:val="00C068F0"/>
    <w:rsid w:val="00C0773B"/>
    <w:rsid w:val="00C108E3"/>
    <w:rsid w:val="00C10B3F"/>
    <w:rsid w:val="00C112E5"/>
    <w:rsid w:val="00C128EA"/>
    <w:rsid w:val="00C219CB"/>
    <w:rsid w:val="00C22FFD"/>
    <w:rsid w:val="00C25529"/>
    <w:rsid w:val="00C2682F"/>
    <w:rsid w:val="00C277E0"/>
    <w:rsid w:val="00C30F3A"/>
    <w:rsid w:val="00C324B9"/>
    <w:rsid w:val="00C34732"/>
    <w:rsid w:val="00C35F13"/>
    <w:rsid w:val="00C36A8A"/>
    <w:rsid w:val="00C36D53"/>
    <w:rsid w:val="00C45606"/>
    <w:rsid w:val="00C54349"/>
    <w:rsid w:val="00C61474"/>
    <w:rsid w:val="00C61BB7"/>
    <w:rsid w:val="00C621C0"/>
    <w:rsid w:val="00C640B4"/>
    <w:rsid w:val="00C652A9"/>
    <w:rsid w:val="00C66FB9"/>
    <w:rsid w:val="00C67229"/>
    <w:rsid w:val="00C67EAC"/>
    <w:rsid w:val="00C72BCE"/>
    <w:rsid w:val="00C734D2"/>
    <w:rsid w:val="00C7369D"/>
    <w:rsid w:val="00C738C9"/>
    <w:rsid w:val="00C74E80"/>
    <w:rsid w:val="00C75060"/>
    <w:rsid w:val="00C82CAC"/>
    <w:rsid w:val="00C873B2"/>
    <w:rsid w:val="00C87D69"/>
    <w:rsid w:val="00C90B64"/>
    <w:rsid w:val="00C91C9E"/>
    <w:rsid w:val="00C9400B"/>
    <w:rsid w:val="00C94B4F"/>
    <w:rsid w:val="00C95560"/>
    <w:rsid w:val="00C97CB9"/>
    <w:rsid w:val="00CA06CB"/>
    <w:rsid w:val="00CA0C96"/>
    <w:rsid w:val="00CA1690"/>
    <w:rsid w:val="00CA321A"/>
    <w:rsid w:val="00CA33C5"/>
    <w:rsid w:val="00CA3A62"/>
    <w:rsid w:val="00CA5250"/>
    <w:rsid w:val="00CA7473"/>
    <w:rsid w:val="00CB5A66"/>
    <w:rsid w:val="00CB5D20"/>
    <w:rsid w:val="00CB766D"/>
    <w:rsid w:val="00CB78CB"/>
    <w:rsid w:val="00CC1A53"/>
    <w:rsid w:val="00CC2F0C"/>
    <w:rsid w:val="00CC3537"/>
    <w:rsid w:val="00CD0630"/>
    <w:rsid w:val="00CD1FD7"/>
    <w:rsid w:val="00CD4ED1"/>
    <w:rsid w:val="00CD66D5"/>
    <w:rsid w:val="00CD79D0"/>
    <w:rsid w:val="00CE265A"/>
    <w:rsid w:val="00CE3DA0"/>
    <w:rsid w:val="00CF0BD5"/>
    <w:rsid w:val="00CF51A9"/>
    <w:rsid w:val="00CF7F5C"/>
    <w:rsid w:val="00D00E33"/>
    <w:rsid w:val="00D10C11"/>
    <w:rsid w:val="00D24185"/>
    <w:rsid w:val="00D3139D"/>
    <w:rsid w:val="00D32909"/>
    <w:rsid w:val="00D4245D"/>
    <w:rsid w:val="00D4376B"/>
    <w:rsid w:val="00D44C99"/>
    <w:rsid w:val="00D455BB"/>
    <w:rsid w:val="00D501D9"/>
    <w:rsid w:val="00D51564"/>
    <w:rsid w:val="00D52308"/>
    <w:rsid w:val="00D6134C"/>
    <w:rsid w:val="00D61F7D"/>
    <w:rsid w:val="00D659B2"/>
    <w:rsid w:val="00D70689"/>
    <w:rsid w:val="00D728B6"/>
    <w:rsid w:val="00D74639"/>
    <w:rsid w:val="00D76F22"/>
    <w:rsid w:val="00D80A0D"/>
    <w:rsid w:val="00D84326"/>
    <w:rsid w:val="00D85B6B"/>
    <w:rsid w:val="00D85EA3"/>
    <w:rsid w:val="00D87DCC"/>
    <w:rsid w:val="00D910EE"/>
    <w:rsid w:val="00D91F15"/>
    <w:rsid w:val="00D92CFA"/>
    <w:rsid w:val="00D94058"/>
    <w:rsid w:val="00D96419"/>
    <w:rsid w:val="00DA1A93"/>
    <w:rsid w:val="00DA3C66"/>
    <w:rsid w:val="00DA4684"/>
    <w:rsid w:val="00DA4EA5"/>
    <w:rsid w:val="00DA56BF"/>
    <w:rsid w:val="00DA6434"/>
    <w:rsid w:val="00DB3076"/>
    <w:rsid w:val="00DB36C0"/>
    <w:rsid w:val="00DB3981"/>
    <w:rsid w:val="00DB50E9"/>
    <w:rsid w:val="00DB6F9A"/>
    <w:rsid w:val="00DC0356"/>
    <w:rsid w:val="00DC37AF"/>
    <w:rsid w:val="00DC47F6"/>
    <w:rsid w:val="00DD0DAF"/>
    <w:rsid w:val="00DD146E"/>
    <w:rsid w:val="00DD36D1"/>
    <w:rsid w:val="00DD4D8E"/>
    <w:rsid w:val="00DD523F"/>
    <w:rsid w:val="00DE013E"/>
    <w:rsid w:val="00DE09BA"/>
    <w:rsid w:val="00DE0A80"/>
    <w:rsid w:val="00DE17D8"/>
    <w:rsid w:val="00DE19C2"/>
    <w:rsid w:val="00DE2E0B"/>
    <w:rsid w:val="00DE2F87"/>
    <w:rsid w:val="00DE76B8"/>
    <w:rsid w:val="00DE78BD"/>
    <w:rsid w:val="00DF355B"/>
    <w:rsid w:val="00DF4228"/>
    <w:rsid w:val="00DF5F13"/>
    <w:rsid w:val="00DF78ED"/>
    <w:rsid w:val="00E03502"/>
    <w:rsid w:val="00E049D3"/>
    <w:rsid w:val="00E05A11"/>
    <w:rsid w:val="00E126CF"/>
    <w:rsid w:val="00E127D1"/>
    <w:rsid w:val="00E138DB"/>
    <w:rsid w:val="00E1674E"/>
    <w:rsid w:val="00E16811"/>
    <w:rsid w:val="00E2315F"/>
    <w:rsid w:val="00E243CE"/>
    <w:rsid w:val="00E2462C"/>
    <w:rsid w:val="00E24D23"/>
    <w:rsid w:val="00E258FA"/>
    <w:rsid w:val="00E26713"/>
    <w:rsid w:val="00E316A9"/>
    <w:rsid w:val="00E31DA8"/>
    <w:rsid w:val="00E346A7"/>
    <w:rsid w:val="00E36717"/>
    <w:rsid w:val="00E36FF6"/>
    <w:rsid w:val="00E40524"/>
    <w:rsid w:val="00E40CCC"/>
    <w:rsid w:val="00E43EB3"/>
    <w:rsid w:val="00E45555"/>
    <w:rsid w:val="00E47A72"/>
    <w:rsid w:val="00E523A8"/>
    <w:rsid w:val="00E53242"/>
    <w:rsid w:val="00E54B87"/>
    <w:rsid w:val="00E579C3"/>
    <w:rsid w:val="00E6157F"/>
    <w:rsid w:val="00E64A91"/>
    <w:rsid w:val="00E64E91"/>
    <w:rsid w:val="00E6541D"/>
    <w:rsid w:val="00E6745E"/>
    <w:rsid w:val="00E70811"/>
    <w:rsid w:val="00E73C82"/>
    <w:rsid w:val="00E74398"/>
    <w:rsid w:val="00E7569B"/>
    <w:rsid w:val="00E77B8E"/>
    <w:rsid w:val="00E8583D"/>
    <w:rsid w:val="00E87866"/>
    <w:rsid w:val="00E93046"/>
    <w:rsid w:val="00E947C3"/>
    <w:rsid w:val="00E953F2"/>
    <w:rsid w:val="00E96DBC"/>
    <w:rsid w:val="00EA0D98"/>
    <w:rsid w:val="00EA201A"/>
    <w:rsid w:val="00EA33BE"/>
    <w:rsid w:val="00EB026A"/>
    <w:rsid w:val="00EB09E2"/>
    <w:rsid w:val="00EB5352"/>
    <w:rsid w:val="00EC0050"/>
    <w:rsid w:val="00EC16B1"/>
    <w:rsid w:val="00EC2811"/>
    <w:rsid w:val="00EC3DE4"/>
    <w:rsid w:val="00EC5851"/>
    <w:rsid w:val="00EC6A46"/>
    <w:rsid w:val="00ED155F"/>
    <w:rsid w:val="00ED1A6D"/>
    <w:rsid w:val="00ED460E"/>
    <w:rsid w:val="00ED68D2"/>
    <w:rsid w:val="00ED6B22"/>
    <w:rsid w:val="00EE1918"/>
    <w:rsid w:val="00EE371D"/>
    <w:rsid w:val="00EE5973"/>
    <w:rsid w:val="00EF655D"/>
    <w:rsid w:val="00F0126F"/>
    <w:rsid w:val="00F01348"/>
    <w:rsid w:val="00F01E16"/>
    <w:rsid w:val="00F044A7"/>
    <w:rsid w:val="00F05325"/>
    <w:rsid w:val="00F059BE"/>
    <w:rsid w:val="00F06495"/>
    <w:rsid w:val="00F06D53"/>
    <w:rsid w:val="00F12FD1"/>
    <w:rsid w:val="00F14080"/>
    <w:rsid w:val="00F151A0"/>
    <w:rsid w:val="00F15220"/>
    <w:rsid w:val="00F178EA"/>
    <w:rsid w:val="00F2241D"/>
    <w:rsid w:val="00F2319C"/>
    <w:rsid w:val="00F266DB"/>
    <w:rsid w:val="00F32621"/>
    <w:rsid w:val="00F34519"/>
    <w:rsid w:val="00F36EE8"/>
    <w:rsid w:val="00F42107"/>
    <w:rsid w:val="00F43982"/>
    <w:rsid w:val="00F43D28"/>
    <w:rsid w:val="00F45AA7"/>
    <w:rsid w:val="00F45C64"/>
    <w:rsid w:val="00F520BB"/>
    <w:rsid w:val="00F60FF0"/>
    <w:rsid w:val="00F62A47"/>
    <w:rsid w:val="00F63C64"/>
    <w:rsid w:val="00F70386"/>
    <w:rsid w:val="00F704AB"/>
    <w:rsid w:val="00F730F4"/>
    <w:rsid w:val="00F746D9"/>
    <w:rsid w:val="00F76963"/>
    <w:rsid w:val="00F771BC"/>
    <w:rsid w:val="00F83B02"/>
    <w:rsid w:val="00F84087"/>
    <w:rsid w:val="00F8428B"/>
    <w:rsid w:val="00F85FF3"/>
    <w:rsid w:val="00F86596"/>
    <w:rsid w:val="00F871D8"/>
    <w:rsid w:val="00F920FD"/>
    <w:rsid w:val="00F9316E"/>
    <w:rsid w:val="00F93714"/>
    <w:rsid w:val="00F9382E"/>
    <w:rsid w:val="00F942E4"/>
    <w:rsid w:val="00F95C98"/>
    <w:rsid w:val="00FA03CC"/>
    <w:rsid w:val="00FA058D"/>
    <w:rsid w:val="00FA3F83"/>
    <w:rsid w:val="00FA44B0"/>
    <w:rsid w:val="00FA7B19"/>
    <w:rsid w:val="00FB60E9"/>
    <w:rsid w:val="00FC027D"/>
    <w:rsid w:val="00FC07AA"/>
    <w:rsid w:val="00FC2344"/>
    <w:rsid w:val="00FD29F6"/>
    <w:rsid w:val="00FD46FB"/>
    <w:rsid w:val="00FD4F17"/>
    <w:rsid w:val="00FD7CFD"/>
    <w:rsid w:val="00FE15EE"/>
    <w:rsid w:val="00FE26A8"/>
    <w:rsid w:val="00FE4235"/>
    <w:rsid w:val="00FE52FD"/>
    <w:rsid w:val="00FE6C4A"/>
    <w:rsid w:val="00FE6DC4"/>
    <w:rsid w:val="00FF110B"/>
    <w:rsid w:val="00FF1E57"/>
    <w:rsid w:val="00FF24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08"/>
    <w:pPr>
      <w:spacing w:before="240" w:line="264" w:lineRule="auto"/>
    </w:pPr>
    <w:rPr>
      <w:rFonts w:ascii="Arial" w:hAnsi="Arial"/>
      <w:sz w:val="22"/>
      <w:szCs w:val="24"/>
      <w:lang w:eastAsia="en-US"/>
    </w:rPr>
  </w:style>
  <w:style w:type="paragraph" w:styleId="Heading1">
    <w:name w:val="heading 1"/>
    <w:basedOn w:val="Normal"/>
    <w:next w:val="Normal"/>
    <w:link w:val="Heading1Char"/>
    <w:qFormat/>
    <w:rsid w:val="00B850E5"/>
    <w:pPr>
      <w:spacing w:before="0" w:after="480"/>
      <w:ind w:hanging="851"/>
      <w:outlineLvl w:val="0"/>
    </w:pPr>
    <w:rPr>
      <w:rFonts w:cs="Arial"/>
      <w:b/>
      <w:bCs/>
      <w:color w:val="8C9640"/>
      <w:sz w:val="36"/>
      <w:szCs w:val="32"/>
    </w:rPr>
  </w:style>
  <w:style w:type="paragraph" w:styleId="Heading2">
    <w:name w:val="heading 2"/>
    <w:basedOn w:val="Normal"/>
    <w:next w:val="Normal"/>
    <w:link w:val="Heading2Char"/>
    <w:qFormat/>
    <w:rsid w:val="00217F3B"/>
    <w:pPr>
      <w:keepNext/>
      <w:spacing w:before="360" w:after="120"/>
      <w:outlineLvl w:val="1"/>
    </w:pPr>
    <w:rPr>
      <w:rFonts w:cs="Arial"/>
      <w:b/>
      <w:bCs/>
      <w:iCs/>
      <w:color w:val="8C9640"/>
      <w:sz w:val="28"/>
      <w:szCs w:val="28"/>
    </w:rPr>
  </w:style>
  <w:style w:type="paragraph" w:styleId="Heading3">
    <w:name w:val="heading 3"/>
    <w:basedOn w:val="Normal"/>
    <w:next w:val="Normal"/>
    <w:link w:val="Heading3Char"/>
    <w:qFormat/>
    <w:rsid w:val="00BC2ADB"/>
    <w:pPr>
      <w:keepNext/>
      <w:spacing w:before="360"/>
      <w:outlineLvl w:val="2"/>
    </w:pPr>
    <w:rPr>
      <w:b/>
      <w:bCs/>
      <w:color w:val="8C9640"/>
      <w:sz w:val="24"/>
      <w:szCs w:val="26"/>
    </w:rPr>
  </w:style>
  <w:style w:type="paragraph" w:styleId="Heading4">
    <w:name w:val="heading 4"/>
    <w:basedOn w:val="Normal"/>
    <w:next w:val="Normal"/>
    <w:link w:val="Heading4Char"/>
    <w:qFormat/>
    <w:rsid w:val="00500840"/>
    <w:pPr>
      <w:keepNext/>
      <w:spacing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qFormat/>
    <w:rsid w:val="002D0608"/>
  </w:style>
  <w:style w:type="character" w:customStyle="1" w:styleId="Heading1Char">
    <w:name w:val="Heading 1 Char"/>
    <w:link w:val="Heading1"/>
    <w:rsid w:val="00B850E5"/>
    <w:rPr>
      <w:rFonts w:ascii="Arial" w:hAnsi="Arial" w:cs="Arial"/>
      <w:b/>
      <w:bCs/>
      <w:color w:val="8C9640"/>
      <w:sz w:val="36"/>
      <w:szCs w:val="32"/>
      <w:lang w:eastAsia="en-US"/>
    </w:rPr>
  </w:style>
  <w:style w:type="character" w:customStyle="1" w:styleId="Heading2Char">
    <w:name w:val="Heading 2 Char"/>
    <w:link w:val="Heading2"/>
    <w:rsid w:val="00217F3B"/>
    <w:rPr>
      <w:rFonts w:ascii="Arial" w:hAnsi="Arial" w:cs="Arial"/>
      <w:b/>
      <w:bCs/>
      <w:iCs/>
      <w:color w:val="8C9640"/>
      <w:sz w:val="28"/>
      <w:szCs w:val="28"/>
      <w:lang w:eastAsia="en-US"/>
    </w:rPr>
  </w:style>
  <w:style w:type="paragraph" w:customStyle="1" w:styleId="Dash">
    <w:name w:val="Dash"/>
    <w:basedOn w:val="Normal"/>
    <w:qFormat/>
    <w:rsid w:val="00AF239A"/>
    <w:pPr>
      <w:numPr>
        <w:numId w:val="50"/>
      </w:numPr>
      <w:spacing w:before="60"/>
      <w:ind w:left="568" w:hanging="284"/>
    </w:pPr>
    <w:rPr>
      <w:rFonts w:cs="Arial"/>
      <w:szCs w:val="22"/>
    </w:rPr>
  </w:style>
  <w:style w:type="paragraph" w:styleId="Footer">
    <w:name w:val="footer"/>
    <w:basedOn w:val="Normal"/>
    <w:link w:val="FooterChar"/>
    <w:uiPriority w:val="99"/>
    <w:rsid w:val="00970528"/>
    <w:pPr>
      <w:pBdr>
        <w:top w:val="single" w:sz="12" w:space="6" w:color="8C9640"/>
      </w:pBdr>
      <w:tabs>
        <w:tab w:val="right" w:pos="8505"/>
      </w:tabs>
      <w:ind w:left="482" w:right="482"/>
    </w:pPr>
    <w:rPr>
      <w:sz w:val="20"/>
    </w:rPr>
  </w:style>
  <w:style w:type="character" w:styleId="PageNumber">
    <w:name w:val="page number"/>
    <w:basedOn w:val="DefaultParagraphFont"/>
    <w:rsid w:val="00970528"/>
    <w:rPr>
      <w:b/>
      <w:color w:val="8C9640"/>
      <w:sz w:val="24"/>
    </w:rPr>
  </w:style>
  <w:style w:type="paragraph" w:styleId="Header">
    <w:name w:val="header"/>
    <w:basedOn w:val="Normal"/>
    <w:link w:val="HeaderChar"/>
    <w:uiPriority w:val="99"/>
    <w:rsid w:val="00E74398"/>
  </w:style>
  <w:style w:type="character" w:styleId="Hyperlink">
    <w:name w:val="Hyperlink"/>
    <w:uiPriority w:val="99"/>
    <w:rsid w:val="00C87D69"/>
    <w:rPr>
      <w:color w:val="8C9640"/>
      <w:u w:val="none"/>
    </w:rPr>
  </w:style>
  <w:style w:type="paragraph" w:styleId="TOC3">
    <w:name w:val="toc 3"/>
    <w:basedOn w:val="Normal"/>
    <w:next w:val="Normal"/>
    <w:unhideWhenUsed/>
    <w:rsid w:val="00E64E91"/>
    <w:pPr>
      <w:tabs>
        <w:tab w:val="left" w:pos="880"/>
        <w:tab w:val="right" w:leader="dot" w:pos="9016"/>
      </w:tabs>
      <w:spacing w:after="60"/>
    </w:pPr>
    <w:rPr>
      <w:rFonts w:eastAsia="Calibri"/>
      <w:i/>
      <w:noProof/>
      <w:sz w:val="20"/>
      <w:szCs w:val="20"/>
    </w:rPr>
  </w:style>
  <w:style w:type="paragraph" w:styleId="TOC2">
    <w:name w:val="toc 2"/>
    <w:basedOn w:val="Normal"/>
    <w:next w:val="Normal"/>
    <w:uiPriority w:val="39"/>
    <w:unhideWhenUsed/>
    <w:rsid w:val="002D0608"/>
    <w:pPr>
      <w:tabs>
        <w:tab w:val="right" w:leader="dot" w:pos="7938"/>
      </w:tabs>
      <w:spacing w:before="60"/>
      <w:ind w:left="567" w:right="567"/>
    </w:pPr>
    <w:rPr>
      <w:rFonts w:eastAsia="Calibri"/>
      <w:sz w:val="20"/>
      <w:szCs w:val="20"/>
    </w:rPr>
  </w:style>
  <w:style w:type="paragraph" w:styleId="TOC1">
    <w:name w:val="toc 1"/>
    <w:basedOn w:val="Normal"/>
    <w:next w:val="Normal"/>
    <w:uiPriority w:val="39"/>
    <w:unhideWhenUsed/>
    <w:rsid w:val="002D0608"/>
    <w:pPr>
      <w:tabs>
        <w:tab w:val="right" w:leader="dot" w:pos="7938"/>
      </w:tabs>
      <w:spacing w:before="300"/>
      <w:ind w:left="567" w:right="567" w:hanging="567"/>
    </w:pPr>
    <w:rPr>
      <w:rFonts w:eastAsia="Calibri" w:cs="Arial"/>
      <w:b/>
      <w:szCs w:val="20"/>
    </w:rPr>
  </w:style>
  <w:style w:type="character" w:customStyle="1" w:styleId="Heading3Char">
    <w:name w:val="Heading 3 Char"/>
    <w:link w:val="Heading3"/>
    <w:rsid w:val="00BC2ADB"/>
    <w:rPr>
      <w:rFonts w:ascii="Arial" w:hAnsi="Arial"/>
      <w:b/>
      <w:bCs/>
      <w:color w:val="8C9640"/>
      <w:sz w:val="24"/>
      <w:szCs w:val="26"/>
      <w:lang w:eastAsia="en-US"/>
    </w:rPr>
  </w:style>
  <w:style w:type="paragraph" w:customStyle="1" w:styleId="Bullet">
    <w:name w:val="Bullet"/>
    <w:basedOn w:val="Normal"/>
    <w:qFormat/>
    <w:rsid w:val="00E258FA"/>
    <w:pPr>
      <w:numPr>
        <w:numId w:val="21"/>
      </w:numPr>
      <w:tabs>
        <w:tab w:val="left" w:pos="284"/>
      </w:tabs>
      <w:spacing w:before="120" w:line="276" w:lineRule="auto"/>
      <w:ind w:left="284" w:hanging="284"/>
    </w:pPr>
    <w:rPr>
      <w:szCs w:val="20"/>
      <w:lang w:eastAsia="en-GB"/>
    </w:rPr>
  </w:style>
  <w:style w:type="character" w:customStyle="1" w:styleId="Heading4Char">
    <w:name w:val="Heading 4 Char"/>
    <w:link w:val="Heading4"/>
    <w:semiHidden/>
    <w:rsid w:val="00500840"/>
    <w:rPr>
      <w:rFonts w:ascii="Calibri" w:eastAsia="Times New Roman" w:hAnsi="Calibri" w:cs="Times New Roman"/>
      <w:b/>
      <w:bCs/>
      <w:sz w:val="28"/>
      <w:szCs w:val="28"/>
      <w:lang w:eastAsia="en-US"/>
    </w:rPr>
  </w:style>
  <w:style w:type="character" w:customStyle="1" w:styleId="HeaderChar">
    <w:name w:val="Header Char"/>
    <w:link w:val="Header"/>
    <w:uiPriority w:val="99"/>
    <w:rsid w:val="00E74398"/>
    <w:rPr>
      <w:rFonts w:ascii="Arial" w:hAnsi="Arial"/>
      <w:sz w:val="24"/>
      <w:szCs w:val="24"/>
      <w:lang w:eastAsia="en-US"/>
    </w:rPr>
  </w:style>
  <w:style w:type="table" w:styleId="TableGrid">
    <w:name w:val="Table Grid"/>
    <w:basedOn w:val="TableNormal"/>
    <w:uiPriority w:val="59"/>
    <w:rsid w:val="00CE3D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C2F0C"/>
    <w:rPr>
      <w:sz w:val="20"/>
      <w:szCs w:val="20"/>
    </w:rPr>
  </w:style>
  <w:style w:type="character" w:customStyle="1" w:styleId="FootnoteTextChar">
    <w:name w:val="Footnote Text Char"/>
    <w:link w:val="FootnoteText"/>
    <w:rsid w:val="00CC2F0C"/>
    <w:rPr>
      <w:rFonts w:ascii="Arial" w:hAnsi="Arial"/>
      <w:lang w:eastAsia="en-US"/>
    </w:rPr>
  </w:style>
  <w:style w:type="character" w:styleId="FootnoteReference">
    <w:name w:val="footnote reference"/>
    <w:uiPriority w:val="99"/>
    <w:rsid w:val="00CC2F0C"/>
    <w:rPr>
      <w:vertAlign w:val="superscript"/>
    </w:rPr>
  </w:style>
  <w:style w:type="paragraph" w:styleId="Title">
    <w:name w:val="Title"/>
    <w:basedOn w:val="Normal"/>
    <w:next w:val="Normal"/>
    <w:link w:val="TitleChar"/>
    <w:qFormat/>
    <w:rsid w:val="00C277E0"/>
    <w:pPr>
      <w:pBdr>
        <w:bottom w:val="single" w:sz="18" w:space="15" w:color="8C9640"/>
      </w:pBdr>
      <w:jc w:val="center"/>
    </w:pPr>
    <w:rPr>
      <w:b/>
      <w:sz w:val="64"/>
      <w:szCs w:val="20"/>
      <w:lang w:eastAsia="en-GB"/>
    </w:rPr>
  </w:style>
  <w:style w:type="character" w:customStyle="1" w:styleId="TitleChar">
    <w:name w:val="Title Char"/>
    <w:link w:val="Title"/>
    <w:rsid w:val="00C277E0"/>
    <w:rPr>
      <w:rFonts w:ascii="Arial" w:hAnsi="Arial"/>
      <w:b/>
      <w:sz w:val="64"/>
      <w:lang w:eastAsia="en-GB"/>
    </w:rPr>
  </w:style>
  <w:style w:type="character" w:customStyle="1" w:styleId="FooterChar">
    <w:name w:val="Footer Char"/>
    <w:link w:val="Footer"/>
    <w:uiPriority w:val="99"/>
    <w:rsid w:val="00970528"/>
    <w:rPr>
      <w:rFonts w:ascii="Arial" w:hAnsi="Arial"/>
      <w:szCs w:val="24"/>
      <w:lang w:eastAsia="en-US"/>
    </w:rPr>
  </w:style>
  <w:style w:type="paragraph" w:customStyle="1" w:styleId="TableText">
    <w:name w:val="TableText"/>
    <w:basedOn w:val="Normal"/>
    <w:qFormat/>
    <w:rsid w:val="00BC2ADB"/>
    <w:pPr>
      <w:spacing w:before="120" w:after="120"/>
    </w:pPr>
    <w:rPr>
      <w:szCs w:val="20"/>
      <w:lang w:eastAsia="en-GB"/>
    </w:rPr>
  </w:style>
  <w:style w:type="paragraph" w:customStyle="1" w:styleId="Imprint">
    <w:name w:val="Imprint"/>
    <w:basedOn w:val="Normal"/>
    <w:next w:val="Normal"/>
    <w:qFormat/>
    <w:rsid w:val="001736EC"/>
    <w:pPr>
      <w:spacing w:after="240" w:line="276" w:lineRule="auto"/>
      <w:jc w:val="center"/>
    </w:pPr>
    <w:rPr>
      <w:sz w:val="20"/>
      <w:szCs w:val="20"/>
      <w:lang w:eastAsia="en-GB"/>
    </w:rPr>
  </w:style>
  <w:style w:type="paragraph" w:styleId="Revision">
    <w:name w:val="Revision"/>
    <w:hidden/>
    <w:uiPriority w:val="99"/>
    <w:semiHidden/>
    <w:rsid w:val="005E52AE"/>
    <w:rPr>
      <w:rFonts w:ascii="Arial" w:hAnsi="Arial"/>
      <w:sz w:val="24"/>
      <w:szCs w:val="24"/>
      <w:lang w:eastAsia="en-US"/>
    </w:rPr>
  </w:style>
  <w:style w:type="paragraph" w:customStyle="1" w:styleId="References">
    <w:name w:val="References"/>
    <w:basedOn w:val="Normal"/>
    <w:qFormat/>
    <w:rsid w:val="00C87D69"/>
    <w:pPr>
      <w:spacing w:before="180"/>
    </w:pPr>
    <w:rPr>
      <w:rFonts w:cs="Arial"/>
      <w:iCs/>
      <w:sz w:val="20"/>
    </w:rPr>
  </w:style>
  <w:style w:type="paragraph" w:customStyle="1" w:styleId="Footereven">
    <w:name w:val="Footer even"/>
    <w:basedOn w:val="Footer"/>
    <w:qFormat/>
    <w:rsid w:val="0019410A"/>
    <w:pPr>
      <w:tabs>
        <w:tab w:val="clear" w:pos="8505"/>
        <w:tab w:val="left" w:pos="-567"/>
        <w:tab w:val="center" w:pos="3969"/>
      </w:tabs>
    </w:pPr>
  </w:style>
  <w:style w:type="paragraph" w:styleId="BalloonText">
    <w:name w:val="Balloon Text"/>
    <w:basedOn w:val="Normal"/>
    <w:link w:val="BalloonTextChar"/>
    <w:rsid w:val="00CC1A5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C1A5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08"/>
    <w:pPr>
      <w:spacing w:before="240" w:line="264" w:lineRule="auto"/>
    </w:pPr>
    <w:rPr>
      <w:rFonts w:ascii="Arial" w:hAnsi="Arial"/>
      <w:sz w:val="22"/>
      <w:szCs w:val="24"/>
      <w:lang w:eastAsia="en-US"/>
    </w:rPr>
  </w:style>
  <w:style w:type="paragraph" w:styleId="Heading1">
    <w:name w:val="heading 1"/>
    <w:basedOn w:val="Normal"/>
    <w:next w:val="Normal"/>
    <w:link w:val="Heading1Char"/>
    <w:qFormat/>
    <w:rsid w:val="00B850E5"/>
    <w:pPr>
      <w:spacing w:before="0" w:after="480"/>
      <w:ind w:hanging="851"/>
      <w:outlineLvl w:val="0"/>
    </w:pPr>
    <w:rPr>
      <w:rFonts w:cs="Arial"/>
      <w:b/>
      <w:bCs/>
      <w:color w:val="8C9640"/>
      <w:sz w:val="36"/>
      <w:szCs w:val="32"/>
    </w:rPr>
  </w:style>
  <w:style w:type="paragraph" w:styleId="Heading2">
    <w:name w:val="heading 2"/>
    <w:basedOn w:val="Normal"/>
    <w:next w:val="Normal"/>
    <w:link w:val="Heading2Char"/>
    <w:qFormat/>
    <w:rsid w:val="00217F3B"/>
    <w:pPr>
      <w:keepNext/>
      <w:spacing w:before="360" w:after="120"/>
      <w:outlineLvl w:val="1"/>
    </w:pPr>
    <w:rPr>
      <w:rFonts w:cs="Arial"/>
      <w:b/>
      <w:bCs/>
      <w:iCs/>
      <w:color w:val="8C9640"/>
      <w:sz w:val="28"/>
      <w:szCs w:val="28"/>
    </w:rPr>
  </w:style>
  <w:style w:type="paragraph" w:styleId="Heading3">
    <w:name w:val="heading 3"/>
    <w:basedOn w:val="Normal"/>
    <w:next w:val="Normal"/>
    <w:link w:val="Heading3Char"/>
    <w:qFormat/>
    <w:rsid w:val="00BC2ADB"/>
    <w:pPr>
      <w:keepNext/>
      <w:spacing w:before="360"/>
      <w:outlineLvl w:val="2"/>
    </w:pPr>
    <w:rPr>
      <w:b/>
      <w:bCs/>
      <w:color w:val="8C9640"/>
      <w:sz w:val="24"/>
      <w:szCs w:val="26"/>
    </w:rPr>
  </w:style>
  <w:style w:type="paragraph" w:styleId="Heading4">
    <w:name w:val="heading 4"/>
    <w:basedOn w:val="Normal"/>
    <w:next w:val="Normal"/>
    <w:link w:val="Heading4Char"/>
    <w:qFormat/>
    <w:rsid w:val="00500840"/>
    <w:pPr>
      <w:keepNext/>
      <w:spacing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qFormat/>
    <w:rsid w:val="002D0608"/>
  </w:style>
  <w:style w:type="character" w:customStyle="1" w:styleId="Heading1Char">
    <w:name w:val="Heading 1 Char"/>
    <w:link w:val="Heading1"/>
    <w:rsid w:val="00B850E5"/>
    <w:rPr>
      <w:rFonts w:ascii="Arial" w:hAnsi="Arial" w:cs="Arial"/>
      <w:b/>
      <w:bCs/>
      <w:color w:val="8C9640"/>
      <w:sz w:val="36"/>
      <w:szCs w:val="32"/>
      <w:lang w:eastAsia="en-US"/>
    </w:rPr>
  </w:style>
  <w:style w:type="character" w:customStyle="1" w:styleId="Heading2Char">
    <w:name w:val="Heading 2 Char"/>
    <w:link w:val="Heading2"/>
    <w:rsid w:val="00217F3B"/>
    <w:rPr>
      <w:rFonts w:ascii="Arial" w:hAnsi="Arial" w:cs="Arial"/>
      <w:b/>
      <w:bCs/>
      <w:iCs/>
      <w:color w:val="8C9640"/>
      <w:sz w:val="28"/>
      <w:szCs w:val="28"/>
      <w:lang w:eastAsia="en-US"/>
    </w:rPr>
  </w:style>
  <w:style w:type="paragraph" w:customStyle="1" w:styleId="Dash">
    <w:name w:val="Dash"/>
    <w:basedOn w:val="Normal"/>
    <w:qFormat/>
    <w:rsid w:val="00AF239A"/>
    <w:pPr>
      <w:numPr>
        <w:numId w:val="50"/>
      </w:numPr>
      <w:spacing w:before="60"/>
      <w:ind w:left="568" w:hanging="284"/>
    </w:pPr>
    <w:rPr>
      <w:rFonts w:cs="Arial"/>
      <w:szCs w:val="22"/>
    </w:rPr>
  </w:style>
  <w:style w:type="paragraph" w:styleId="Footer">
    <w:name w:val="footer"/>
    <w:basedOn w:val="Normal"/>
    <w:link w:val="FooterChar"/>
    <w:uiPriority w:val="99"/>
    <w:rsid w:val="00970528"/>
    <w:pPr>
      <w:pBdr>
        <w:top w:val="single" w:sz="12" w:space="6" w:color="8C9640"/>
      </w:pBdr>
      <w:tabs>
        <w:tab w:val="right" w:pos="8505"/>
      </w:tabs>
      <w:ind w:left="482" w:right="482"/>
    </w:pPr>
    <w:rPr>
      <w:sz w:val="20"/>
    </w:rPr>
  </w:style>
  <w:style w:type="character" w:styleId="PageNumber">
    <w:name w:val="page number"/>
    <w:basedOn w:val="DefaultParagraphFont"/>
    <w:rsid w:val="00970528"/>
    <w:rPr>
      <w:b/>
      <w:color w:val="8C9640"/>
      <w:sz w:val="24"/>
    </w:rPr>
  </w:style>
  <w:style w:type="paragraph" w:styleId="Header">
    <w:name w:val="header"/>
    <w:basedOn w:val="Normal"/>
    <w:link w:val="HeaderChar"/>
    <w:uiPriority w:val="99"/>
    <w:rsid w:val="00E74398"/>
  </w:style>
  <w:style w:type="character" w:styleId="Hyperlink">
    <w:name w:val="Hyperlink"/>
    <w:uiPriority w:val="99"/>
    <w:rsid w:val="00C87D69"/>
    <w:rPr>
      <w:color w:val="8C9640"/>
      <w:u w:val="none"/>
    </w:rPr>
  </w:style>
  <w:style w:type="paragraph" w:styleId="TOC3">
    <w:name w:val="toc 3"/>
    <w:basedOn w:val="Normal"/>
    <w:next w:val="Normal"/>
    <w:unhideWhenUsed/>
    <w:rsid w:val="00E64E91"/>
    <w:pPr>
      <w:tabs>
        <w:tab w:val="left" w:pos="880"/>
        <w:tab w:val="right" w:leader="dot" w:pos="9016"/>
      </w:tabs>
      <w:spacing w:after="60"/>
    </w:pPr>
    <w:rPr>
      <w:rFonts w:eastAsia="Calibri"/>
      <w:i/>
      <w:noProof/>
      <w:sz w:val="20"/>
      <w:szCs w:val="20"/>
    </w:rPr>
  </w:style>
  <w:style w:type="paragraph" w:styleId="TOC2">
    <w:name w:val="toc 2"/>
    <w:basedOn w:val="Normal"/>
    <w:next w:val="Normal"/>
    <w:uiPriority w:val="39"/>
    <w:unhideWhenUsed/>
    <w:rsid w:val="002D0608"/>
    <w:pPr>
      <w:tabs>
        <w:tab w:val="right" w:leader="dot" w:pos="7938"/>
      </w:tabs>
      <w:spacing w:before="60"/>
      <w:ind w:left="567" w:right="567"/>
    </w:pPr>
    <w:rPr>
      <w:rFonts w:eastAsia="Calibri"/>
      <w:sz w:val="20"/>
      <w:szCs w:val="20"/>
    </w:rPr>
  </w:style>
  <w:style w:type="paragraph" w:styleId="TOC1">
    <w:name w:val="toc 1"/>
    <w:basedOn w:val="Normal"/>
    <w:next w:val="Normal"/>
    <w:uiPriority w:val="39"/>
    <w:unhideWhenUsed/>
    <w:rsid w:val="002D0608"/>
    <w:pPr>
      <w:tabs>
        <w:tab w:val="right" w:leader="dot" w:pos="7938"/>
      </w:tabs>
      <w:spacing w:before="300"/>
      <w:ind w:left="567" w:right="567" w:hanging="567"/>
    </w:pPr>
    <w:rPr>
      <w:rFonts w:eastAsia="Calibri" w:cs="Arial"/>
      <w:b/>
      <w:szCs w:val="20"/>
    </w:rPr>
  </w:style>
  <w:style w:type="character" w:customStyle="1" w:styleId="Heading3Char">
    <w:name w:val="Heading 3 Char"/>
    <w:link w:val="Heading3"/>
    <w:rsid w:val="00BC2ADB"/>
    <w:rPr>
      <w:rFonts w:ascii="Arial" w:hAnsi="Arial"/>
      <w:b/>
      <w:bCs/>
      <w:color w:val="8C9640"/>
      <w:sz w:val="24"/>
      <w:szCs w:val="26"/>
      <w:lang w:eastAsia="en-US"/>
    </w:rPr>
  </w:style>
  <w:style w:type="paragraph" w:customStyle="1" w:styleId="Bullet">
    <w:name w:val="Bullet"/>
    <w:basedOn w:val="Normal"/>
    <w:qFormat/>
    <w:rsid w:val="00E258FA"/>
    <w:pPr>
      <w:numPr>
        <w:numId w:val="21"/>
      </w:numPr>
      <w:tabs>
        <w:tab w:val="left" w:pos="284"/>
      </w:tabs>
      <w:spacing w:before="120" w:line="276" w:lineRule="auto"/>
      <w:ind w:left="284" w:hanging="284"/>
    </w:pPr>
    <w:rPr>
      <w:szCs w:val="20"/>
      <w:lang w:eastAsia="en-GB"/>
    </w:rPr>
  </w:style>
  <w:style w:type="character" w:customStyle="1" w:styleId="Heading4Char">
    <w:name w:val="Heading 4 Char"/>
    <w:link w:val="Heading4"/>
    <w:semiHidden/>
    <w:rsid w:val="00500840"/>
    <w:rPr>
      <w:rFonts w:ascii="Calibri" w:eastAsia="Times New Roman" w:hAnsi="Calibri" w:cs="Times New Roman"/>
      <w:b/>
      <w:bCs/>
      <w:sz w:val="28"/>
      <w:szCs w:val="28"/>
      <w:lang w:eastAsia="en-US"/>
    </w:rPr>
  </w:style>
  <w:style w:type="character" w:customStyle="1" w:styleId="HeaderChar">
    <w:name w:val="Header Char"/>
    <w:link w:val="Header"/>
    <w:uiPriority w:val="99"/>
    <w:rsid w:val="00E74398"/>
    <w:rPr>
      <w:rFonts w:ascii="Arial" w:hAnsi="Arial"/>
      <w:sz w:val="24"/>
      <w:szCs w:val="24"/>
      <w:lang w:eastAsia="en-US"/>
    </w:rPr>
  </w:style>
  <w:style w:type="table" w:styleId="TableGrid">
    <w:name w:val="Table Grid"/>
    <w:basedOn w:val="TableNormal"/>
    <w:uiPriority w:val="59"/>
    <w:rsid w:val="00CE3D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C2F0C"/>
    <w:rPr>
      <w:sz w:val="20"/>
      <w:szCs w:val="20"/>
    </w:rPr>
  </w:style>
  <w:style w:type="character" w:customStyle="1" w:styleId="FootnoteTextChar">
    <w:name w:val="Footnote Text Char"/>
    <w:link w:val="FootnoteText"/>
    <w:rsid w:val="00CC2F0C"/>
    <w:rPr>
      <w:rFonts w:ascii="Arial" w:hAnsi="Arial"/>
      <w:lang w:eastAsia="en-US"/>
    </w:rPr>
  </w:style>
  <w:style w:type="character" w:styleId="FootnoteReference">
    <w:name w:val="footnote reference"/>
    <w:uiPriority w:val="99"/>
    <w:rsid w:val="00CC2F0C"/>
    <w:rPr>
      <w:vertAlign w:val="superscript"/>
    </w:rPr>
  </w:style>
  <w:style w:type="paragraph" w:styleId="Title">
    <w:name w:val="Title"/>
    <w:basedOn w:val="Normal"/>
    <w:next w:val="Normal"/>
    <w:link w:val="TitleChar"/>
    <w:qFormat/>
    <w:rsid w:val="00C277E0"/>
    <w:pPr>
      <w:pBdr>
        <w:bottom w:val="single" w:sz="18" w:space="15" w:color="8C9640"/>
      </w:pBdr>
      <w:jc w:val="center"/>
    </w:pPr>
    <w:rPr>
      <w:b/>
      <w:sz w:val="64"/>
      <w:szCs w:val="20"/>
      <w:lang w:eastAsia="en-GB"/>
    </w:rPr>
  </w:style>
  <w:style w:type="character" w:customStyle="1" w:styleId="TitleChar">
    <w:name w:val="Title Char"/>
    <w:link w:val="Title"/>
    <w:rsid w:val="00C277E0"/>
    <w:rPr>
      <w:rFonts w:ascii="Arial" w:hAnsi="Arial"/>
      <w:b/>
      <w:sz w:val="64"/>
      <w:lang w:eastAsia="en-GB"/>
    </w:rPr>
  </w:style>
  <w:style w:type="character" w:customStyle="1" w:styleId="FooterChar">
    <w:name w:val="Footer Char"/>
    <w:link w:val="Footer"/>
    <w:uiPriority w:val="99"/>
    <w:rsid w:val="00970528"/>
    <w:rPr>
      <w:rFonts w:ascii="Arial" w:hAnsi="Arial"/>
      <w:szCs w:val="24"/>
      <w:lang w:eastAsia="en-US"/>
    </w:rPr>
  </w:style>
  <w:style w:type="paragraph" w:customStyle="1" w:styleId="TableText">
    <w:name w:val="TableText"/>
    <w:basedOn w:val="Normal"/>
    <w:qFormat/>
    <w:rsid w:val="00BC2ADB"/>
    <w:pPr>
      <w:spacing w:before="120" w:after="120"/>
    </w:pPr>
    <w:rPr>
      <w:szCs w:val="20"/>
      <w:lang w:eastAsia="en-GB"/>
    </w:rPr>
  </w:style>
  <w:style w:type="paragraph" w:customStyle="1" w:styleId="Imprint">
    <w:name w:val="Imprint"/>
    <w:basedOn w:val="Normal"/>
    <w:next w:val="Normal"/>
    <w:qFormat/>
    <w:rsid w:val="001736EC"/>
    <w:pPr>
      <w:spacing w:after="240" w:line="276" w:lineRule="auto"/>
      <w:jc w:val="center"/>
    </w:pPr>
    <w:rPr>
      <w:sz w:val="20"/>
      <w:szCs w:val="20"/>
      <w:lang w:eastAsia="en-GB"/>
    </w:rPr>
  </w:style>
  <w:style w:type="paragraph" w:styleId="Revision">
    <w:name w:val="Revision"/>
    <w:hidden/>
    <w:uiPriority w:val="99"/>
    <w:semiHidden/>
    <w:rsid w:val="005E52AE"/>
    <w:rPr>
      <w:rFonts w:ascii="Arial" w:hAnsi="Arial"/>
      <w:sz w:val="24"/>
      <w:szCs w:val="24"/>
      <w:lang w:eastAsia="en-US"/>
    </w:rPr>
  </w:style>
  <w:style w:type="paragraph" w:customStyle="1" w:styleId="References">
    <w:name w:val="References"/>
    <w:basedOn w:val="Normal"/>
    <w:qFormat/>
    <w:rsid w:val="00C87D69"/>
    <w:pPr>
      <w:spacing w:before="180"/>
    </w:pPr>
    <w:rPr>
      <w:rFonts w:cs="Arial"/>
      <w:iCs/>
      <w:sz w:val="20"/>
    </w:rPr>
  </w:style>
  <w:style w:type="paragraph" w:customStyle="1" w:styleId="Footereven">
    <w:name w:val="Footer even"/>
    <w:basedOn w:val="Footer"/>
    <w:qFormat/>
    <w:rsid w:val="0019410A"/>
    <w:pPr>
      <w:tabs>
        <w:tab w:val="clear" w:pos="8505"/>
        <w:tab w:val="left" w:pos="-567"/>
        <w:tab w:val="center" w:pos="3969"/>
      </w:tabs>
    </w:pPr>
  </w:style>
  <w:style w:type="paragraph" w:styleId="BalloonText">
    <w:name w:val="Balloon Text"/>
    <w:basedOn w:val="Normal"/>
    <w:link w:val="BalloonTextChar"/>
    <w:rsid w:val="00CC1A5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C1A5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540">
      <w:bodyDiv w:val="1"/>
      <w:marLeft w:val="0"/>
      <w:marRight w:val="0"/>
      <w:marTop w:val="0"/>
      <w:marBottom w:val="0"/>
      <w:divBdr>
        <w:top w:val="none" w:sz="0" w:space="0" w:color="auto"/>
        <w:left w:val="none" w:sz="0" w:space="0" w:color="auto"/>
        <w:bottom w:val="none" w:sz="0" w:space="0" w:color="auto"/>
        <w:right w:val="none" w:sz="0" w:space="0" w:color="auto"/>
      </w:divBdr>
    </w:div>
    <w:div w:id="685835198">
      <w:bodyDiv w:val="1"/>
      <w:marLeft w:val="0"/>
      <w:marRight w:val="0"/>
      <w:marTop w:val="0"/>
      <w:marBottom w:val="0"/>
      <w:divBdr>
        <w:top w:val="none" w:sz="0" w:space="0" w:color="auto"/>
        <w:left w:val="none" w:sz="0" w:space="0" w:color="auto"/>
        <w:bottom w:val="none" w:sz="0" w:space="0" w:color="auto"/>
        <w:right w:val="none" w:sz="0" w:space="0" w:color="auto"/>
      </w:divBdr>
    </w:div>
    <w:div w:id="1497646545">
      <w:bodyDiv w:val="1"/>
      <w:marLeft w:val="0"/>
      <w:marRight w:val="0"/>
      <w:marTop w:val="0"/>
      <w:marBottom w:val="0"/>
      <w:divBdr>
        <w:top w:val="none" w:sz="0" w:space="0" w:color="auto"/>
        <w:left w:val="none" w:sz="0" w:space="0" w:color="auto"/>
        <w:bottom w:val="none" w:sz="0" w:space="0" w:color="auto"/>
        <w:right w:val="none" w:sz="0" w:space="0" w:color="auto"/>
      </w:divBdr>
    </w:div>
    <w:div w:id="1510636751">
      <w:bodyDiv w:val="1"/>
      <w:marLeft w:val="0"/>
      <w:marRight w:val="0"/>
      <w:marTop w:val="0"/>
      <w:marBottom w:val="0"/>
      <w:divBdr>
        <w:top w:val="none" w:sz="0" w:space="0" w:color="auto"/>
        <w:left w:val="none" w:sz="0" w:space="0" w:color="auto"/>
        <w:bottom w:val="none" w:sz="0" w:space="0" w:color="auto"/>
        <w:right w:val="none" w:sz="0" w:space="0" w:color="auto"/>
      </w:divBdr>
    </w:div>
    <w:div w:id="1655332209">
      <w:bodyDiv w:val="1"/>
      <w:marLeft w:val="0"/>
      <w:marRight w:val="0"/>
      <w:marTop w:val="0"/>
      <w:marBottom w:val="0"/>
      <w:divBdr>
        <w:top w:val="none" w:sz="0" w:space="0" w:color="auto"/>
        <w:left w:val="none" w:sz="0" w:space="0" w:color="auto"/>
        <w:bottom w:val="none" w:sz="0" w:space="0" w:color="auto"/>
        <w:right w:val="none" w:sz="0" w:space="0" w:color="auto"/>
      </w:divBdr>
    </w:div>
    <w:div w:id="1810366553">
      <w:bodyDiv w:val="1"/>
      <w:marLeft w:val="0"/>
      <w:marRight w:val="0"/>
      <w:marTop w:val="0"/>
      <w:marBottom w:val="0"/>
      <w:divBdr>
        <w:top w:val="none" w:sz="0" w:space="0" w:color="auto"/>
        <w:left w:val="none" w:sz="0" w:space="0" w:color="auto"/>
        <w:bottom w:val="none" w:sz="0" w:space="0" w:color="auto"/>
        <w:right w:val="none" w:sz="0" w:space="0" w:color="auto"/>
      </w:divBdr>
      <w:divsChild>
        <w:div w:id="34045687">
          <w:marLeft w:val="0"/>
          <w:marRight w:val="0"/>
          <w:marTop w:val="0"/>
          <w:marBottom w:val="0"/>
          <w:divBdr>
            <w:top w:val="none" w:sz="0" w:space="0" w:color="auto"/>
            <w:left w:val="none" w:sz="0" w:space="0" w:color="auto"/>
            <w:bottom w:val="none" w:sz="0" w:space="0" w:color="auto"/>
            <w:right w:val="none" w:sz="0" w:space="0" w:color="auto"/>
          </w:divBdr>
          <w:divsChild>
            <w:div w:id="62725499">
              <w:marLeft w:val="0"/>
              <w:marRight w:val="0"/>
              <w:marTop w:val="0"/>
              <w:marBottom w:val="0"/>
              <w:divBdr>
                <w:top w:val="none" w:sz="0" w:space="0" w:color="auto"/>
                <w:left w:val="none" w:sz="0" w:space="0" w:color="auto"/>
                <w:bottom w:val="none" w:sz="0" w:space="0" w:color="auto"/>
                <w:right w:val="none" w:sz="0" w:space="0" w:color="auto"/>
              </w:divBdr>
              <w:divsChild>
                <w:div w:id="733548225">
                  <w:marLeft w:val="0"/>
                  <w:marRight w:val="0"/>
                  <w:marTop w:val="0"/>
                  <w:marBottom w:val="0"/>
                  <w:divBdr>
                    <w:top w:val="none" w:sz="0" w:space="0" w:color="auto"/>
                    <w:left w:val="none" w:sz="0" w:space="0" w:color="auto"/>
                    <w:bottom w:val="none" w:sz="0" w:space="0" w:color="auto"/>
                    <w:right w:val="none" w:sz="0" w:space="0" w:color="auto"/>
                  </w:divBdr>
                  <w:divsChild>
                    <w:div w:id="2144928019">
                      <w:marLeft w:val="0"/>
                      <w:marRight w:val="0"/>
                      <w:marTop w:val="45"/>
                      <w:marBottom w:val="0"/>
                      <w:divBdr>
                        <w:top w:val="none" w:sz="0" w:space="0" w:color="auto"/>
                        <w:left w:val="none" w:sz="0" w:space="0" w:color="auto"/>
                        <w:bottom w:val="none" w:sz="0" w:space="0" w:color="auto"/>
                        <w:right w:val="none" w:sz="0" w:space="0" w:color="auto"/>
                      </w:divBdr>
                      <w:divsChild>
                        <w:div w:id="712313516">
                          <w:marLeft w:val="0"/>
                          <w:marRight w:val="0"/>
                          <w:marTop w:val="0"/>
                          <w:marBottom w:val="0"/>
                          <w:divBdr>
                            <w:top w:val="none" w:sz="0" w:space="0" w:color="auto"/>
                            <w:left w:val="none" w:sz="0" w:space="0" w:color="auto"/>
                            <w:bottom w:val="none" w:sz="0" w:space="0" w:color="auto"/>
                            <w:right w:val="none" w:sz="0" w:space="0" w:color="auto"/>
                          </w:divBdr>
                          <w:divsChild>
                            <w:div w:id="244152223">
                              <w:marLeft w:val="2070"/>
                              <w:marRight w:val="3810"/>
                              <w:marTop w:val="0"/>
                              <w:marBottom w:val="0"/>
                              <w:divBdr>
                                <w:top w:val="none" w:sz="0" w:space="0" w:color="auto"/>
                                <w:left w:val="none" w:sz="0" w:space="0" w:color="auto"/>
                                <w:bottom w:val="none" w:sz="0" w:space="0" w:color="auto"/>
                                <w:right w:val="none" w:sz="0" w:space="0" w:color="auto"/>
                              </w:divBdr>
                              <w:divsChild>
                                <w:div w:id="1991787829">
                                  <w:marLeft w:val="0"/>
                                  <w:marRight w:val="0"/>
                                  <w:marTop w:val="0"/>
                                  <w:marBottom w:val="0"/>
                                  <w:divBdr>
                                    <w:top w:val="none" w:sz="0" w:space="0" w:color="auto"/>
                                    <w:left w:val="none" w:sz="0" w:space="0" w:color="auto"/>
                                    <w:bottom w:val="none" w:sz="0" w:space="0" w:color="auto"/>
                                    <w:right w:val="none" w:sz="0" w:space="0" w:color="auto"/>
                                  </w:divBdr>
                                  <w:divsChild>
                                    <w:div w:id="1260405924">
                                      <w:marLeft w:val="0"/>
                                      <w:marRight w:val="0"/>
                                      <w:marTop w:val="0"/>
                                      <w:marBottom w:val="0"/>
                                      <w:divBdr>
                                        <w:top w:val="none" w:sz="0" w:space="0" w:color="auto"/>
                                        <w:left w:val="none" w:sz="0" w:space="0" w:color="auto"/>
                                        <w:bottom w:val="none" w:sz="0" w:space="0" w:color="auto"/>
                                        <w:right w:val="none" w:sz="0" w:space="0" w:color="auto"/>
                                      </w:divBdr>
                                      <w:divsChild>
                                        <w:div w:id="1032876572">
                                          <w:marLeft w:val="0"/>
                                          <w:marRight w:val="0"/>
                                          <w:marTop w:val="0"/>
                                          <w:marBottom w:val="0"/>
                                          <w:divBdr>
                                            <w:top w:val="none" w:sz="0" w:space="0" w:color="auto"/>
                                            <w:left w:val="none" w:sz="0" w:space="0" w:color="auto"/>
                                            <w:bottom w:val="none" w:sz="0" w:space="0" w:color="auto"/>
                                            <w:right w:val="none" w:sz="0" w:space="0" w:color="auto"/>
                                          </w:divBdr>
                                          <w:divsChild>
                                            <w:div w:id="160586747">
                                              <w:marLeft w:val="0"/>
                                              <w:marRight w:val="0"/>
                                              <w:marTop w:val="0"/>
                                              <w:marBottom w:val="0"/>
                                              <w:divBdr>
                                                <w:top w:val="none" w:sz="0" w:space="0" w:color="auto"/>
                                                <w:left w:val="none" w:sz="0" w:space="0" w:color="auto"/>
                                                <w:bottom w:val="none" w:sz="0" w:space="0" w:color="auto"/>
                                                <w:right w:val="none" w:sz="0" w:space="0" w:color="auto"/>
                                              </w:divBdr>
                                              <w:divsChild>
                                                <w:div w:id="1229153607">
                                                  <w:marLeft w:val="0"/>
                                                  <w:marRight w:val="0"/>
                                                  <w:marTop w:val="0"/>
                                                  <w:marBottom w:val="0"/>
                                                  <w:divBdr>
                                                    <w:top w:val="none" w:sz="0" w:space="0" w:color="auto"/>
                                                    <w:left w:val="none" w:sz="0" w:space="0" w:color="auto"/>
                                                    <w:bottom w:val="none" w:sz="0" w:space="0" w:color="auto"/>
                                                    <w:right w:val="none" w:sz="0" w:space="0" w:color="auto"/>
                                                  </w:divBdr>
                                                  <w:divsChild>
                                                    <w:div w:id="1710836163">
                                                      <w:marLeft w:val="0"/>
                                                      <w:marRight w:val="0"/>
                                                      <w:marTop w:val="0"/>
                                                      <w:marBottom w:val="0"/>
                                                      <w:divBdr>
                                                        <w:top w:val="none" w:sz="0" w:space="0" w:color="auto"/>
                                                        <w:left w:val="none" w:sz="0" w:space="0" w:color="auto"/>
                                                        <w:bottom w:val="none" w:sz="0" w:space="0" w:color="auto"/>
                                                        <w:right w:val="none" w:sz="0" w:space="0" w:color="auto"/>
                                                      </w:divBdr>
                                                      <w:divsChild>
                                                        <w:div w:id="1682245435">
                                                          <w:marLeft w:val="0"/>
                                                          <w:marRight w:val="0"/>
                                                          <w:marTop w:val="0"/>
                                                          <w:marBottom w:val="0"/>
                                                          <w:divBdr>
                                                            <w:top w:val="none" w:sz="0" w:space="0" w:color="auto"/>
                                                            <w:left w:val="none" w:sz="0" w:space="0" w:color="auto"/>
                                                            <w:bottom w:val="none" w:sz="0" w:space="0" w:color="auto"/>
                                                            <w:right w:val="none" w:sz="0" w:space="0" w:color="auto"/>
                                                          </w:divBdr>
                                                          <w:divsChild>
                                                            <w:div w:id="1377698976">
                                                              <w:marLeft w:val="0"/>
                                                              <w:marRight w:val="0"/>
                                                              <w:marTop w:val="0"/>
                                                              <w:marBottom w:val="0"/>
                                                              <w:divBdr>
                                                                <w:top w:val="none" w:sz="0" w:space="0" w:color="auto"/>
                                                                <w:left w:val="none" w:sz="0" w:space="0" w:color="auto"/>
                                                                <w:bottom w:val="none" w:sz="0" w:space="0" w:color="auto"/>
                                                                <w:right w:val="none" w:sz="0" w:space="0" w:color="auto"/>
                                                              </w:divBdr>
                                                              <w:divsChild>
                                                                <w:div w:id="363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23677">
      <w:bodyDiv w:val="1"/>
      <w:marLeft w:val="0"/>
      <w:marRight w:val="0"/>
      <w:marTop w:val="0"/>
      <w:marBottom w:val="0"/>
      <w:divBdr>
        <w:top w:val="none" w:sz="0" w:space="0" w:color="auto"/>
        <w:left w:val="none" w:sz="0" w:space="0" w:color="auto"/>
        <w:bottom w:val="none" w:sz="0" w:space="0" w:color="auto"/>
        <w:right w:val="none" w:sz="0" w:space="0" w:color="auto"/>
      </w:divBdr>
      <w:divsChild>
        <w:div w:id="82189600">
          <w:marLeft w:val="0"/>
          <w:marRight w:val="0"/>
          <w:marTop w:val="0"/>
          <w:marBottom w:val="0"/>
          <w:divBdr>
            <w:top w:val="none" w:sz="0" w:space="0" w:color="auto"/>
            <w:left w:val="none" w:sz="0" w:space="0" w:color="auto"/>
            <w:bottom w:val="none" w:sz="0" w:space="0" w:color="auto"/>
            <w:right w:val="none" w:sz="0" w:space="0" w:color="auto"/>
          </w:divBdr>
          <w:divsChild>
            <w:div w:id="874781067">
              <w:marLeft w:val="0"/>
              <w:marRight w:val="0"/>
              <w:marTop w:val="0"/>
              <w:marBottom w:val="0"/>
              <w:divBdr>
                <w:top w:val="none" w:sz="0" w:space="0" w:color="auto"/>
                <w:left w:val="none" w:sz="0" w:space="0" w:color="auto"/>
                <w:bottom w:val="none" w:sz="0" w:space="0" w:color="auto"/>
                <w:right w:val="none" w:sz="0" w:space="0" w:color="auto"/>
              </w:divBdr>
              <w:divsChild>
                <w:div w:id="1095126106">
                  <w:marLeft w:val="-225"/>
                  <w:marRight w:val="-225"/>
                  <w:marTop w:val="0"/>
                  <w:marBottom w:val="0"/>
                  <w:divBdr>
                    <w:top w:val="none" w:sz="0" w:space="0" w:color="auto"/>
                    <w:left w:val="none" w:sz="0" w:space="0" w:color="auto"/>
                    <w:bottom w:val="none" w:sz="0" w:space="0" w:color="auto"/>
                    <w:right w:val="none" w:sz="0" w:space="0" w:color="auto"/>
                  </w:divBdr>
                  <w:divsChild>
                    <w:div w:id="545485527">
                      <w:marLeft w:val="0"/>
                      <w:marRight w:val="0"/>
                      <w:marTop w:val="0"/>
                      <w:marBottom w:val="0"/>
                      <w:divBdr>
                        <w:top w:val="none" w:sz="0" w:space="0" w:color="auto"/>
                        <w:left w:val="none" w:sz="0" w:space="0" w:color="auto"/>
                        <w:bottom w:val="none" w:sz="0" w:space="0" w:color="auto"/>
                        <w:right w:val="none" w:sz="0" w:space="0" w:color="auto"/>
                      </w:divBdr>
                      <w:divsChild>
                        <w:div w:id="1143502010">
                          <w:marLeft w:val="0"/>
                          <w:marRight w:val="0"/>
                          <w:marTop w:val="0"/>
                          <w:marBottom w:val="0"/>
                          <w:divBdr>
                            <w:top w:val="none" w:sz="0" w:space="0" w:color="auto"/>
                            <w:left w:val="none" w:sz="0" w:space="0" w:color="auto"/>
                            <w:bottom w:val="none" w:sz="0" w:space="0" w:color="auto"/>
                            <w:right w:val="none" w:sz="0" w:space="0" w:color="auto"/>
                          </w:divBdr>
                          <w:divsChild>
                            <w:div w:id="752552435">
                              <w:marLeft w:val="-225"/>
                              <w:marRight w:val="-225"/>
                              <w:marTop w:val="0"/>
                              <w:marBottom w:val="0"/>
                              <w:divBdr>
                                <w:top w:val="none" w:sz="0" w:space="0" w:color="auto"/>
                                <w:left w:val="none" w:sz="0" w:space="0" w:color="auto"/>
                                <w:bottom w:val="none" w:sz="0" w:space="0" w:color="auto"/>
                                <w:right w:val="none" w:sz="0" w:space="0" w:color="auto"/>
                              </w:divBdr>
                              <w:divsChild>
                                <w:div w:id="963538993">
                                  <w:marLeft w:val="0"/>
                                  <w:marRight w:val="0"/>
                                  <w:marTop w:val="0"/>
                                  <w:marBottom w:val="0"/>
                                  <w:divBdr>
                                    <w:top w:val="none" w:sz="0" w:space="0" w:color="auto"/>
                                    <w:left w:val="none" w:sz="0" w:space="0" w:color="auto"/>
                                    <w:bottom w:val="none" w:sz="0" w:space="0" w:color="auto"/>
                                    <w:right w:val="none" w:sz="0" w:space="0" w:color="auto"/>
                                  </w:divBdr>
                                  <w:divsChild>
                                    <w:div w:id="1334141103">
                                      <w:marLeft w:val="0"/>
                                      <w:marRight w:val="0"/>
                                      <w:marTop w:val="0"/>
                                      <w:marBottom w:val="0"/>
                                      <w:divBdr>
                                        <w:top w:val="none" w:sz="0" w:space="0" w:color="auto"/>
                                        <w:left w:val="none" w:sz="0" w:space="0" w:color="auto"/>
                                        <w:bottom w:val="none" w:sz="0" w:space="0" w:color="auto"/>
                                        <w:right w:val="none" w:sz="0" w:space="0" w:color="auto"/>
                                      </w:divBdr>
                                      <w:divsChild>
                                        <w:div w:id="1884898588">
                                          <w:marLeft w:val="0"/>
                                          <w:marRight w:val="0"/>
                                          <w:marTop w:val="0"/>
                                          <w:marBottom w:val="0"/>
                                          <w:divBdr>
                                            <w:top w:val="none" w:sz="0" w:space="0" w:color="auto"/>
                                            <w:left w:val="none" w:sz="0" w:space="0" w:color="auto"/>
                                            <w:bottom w:val="none" w:sz="0" w:space="0" w:color="auto"/>
                                            <w:right w:val="none" w:sz="0" w:space="0" w:color="auto"/>
                                          </w:divBdr>
                                          <w:divsChild>
                                            <w:div w:id="1888373001">
                                              <w:marLeft w:val="0"/>
                                              <w:marRight w:val="0"/>
                                              <w:marTop w:val="0"/>
                                              <w:marBottom w:val="0"/>
                                              <w:divBdr>
                                                <w:top w:val="none" w:sz="0" w:space="0" w:color="auto"/>
                                                <w:left w:val="none" w:sz="0" w:space="0" w:color="auto"/>
                                                <w:bottom w:val="none" w:sz="0" w:space="0" w:color="auto"/>
                                                <w:right w:val="none" w:sz="0" w:space="0" w:color="auto"/>
                                              </w:divBdr>
                                              <w:divsChild>
                                                <w:div w:id="2102797287">
                                                  <w:marLeft w:val="0"/>
                                                  <w:marRight w:val="0"/>
                                                  <w:marTop w:val="0"/>
                                                  <w:marBottom w:val="0"/>
                                                  <w:divBdr>
                                                    <w:top w:val="none" w:sz="0" w:space="0" w:color="auto"/>
                                                    <w:left w:val="none" w:sz="0" w:space="0" w:color="auto"/>
                                                    <w:bottom w:val="none" w:sz="0" w:space="0" w:color="auto"/>
                                                    <w:right w:val="none" w:sz="0" w:space="0" w:color="auto"/>
                                                  </w:divBdr>
                                                  <w:divsChild>
                                                    <w:div w:id="433405990">
                                                      <w:marLeft w:val="0"/>
                                                      <w:marRight w:val="0"/>
                                                      <w:marTop w:val="0"/>
                                                      <w:marBottom w:val="0"/>
                                                      <w:divBdr>
                                                        <w:top w:val="none" w:sz="0" w:space="0" w:color="auto"/>
                                                        <w:left w:val="none" w:sz="0" w:space="0" w:color="auto"/>
                                                        <w:bottom w:val="none" w:sz="0" w:space="0" w:color="auto"/>
                                                        <w:right w:val="none" w:sz="0" w:space="0" w:color="auto"/>
                                                      </w:divBdr>
                                                      <w:divsChild>
                                                        <w:div w:id="1215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226469">
      <w:bodyDiv w:val="1"/>
      <w:marLeft w:val="0"/>
      <w:marRight w:val="0"/>
      <w:marTop w:val="0"/>
      <w:marBottom w:val="0"/>
      <w:divBdr>
        <w:top w:val="none" w:sz="0" w:space="0" w:color="auto"/>
        <w:left w:val="none" w:sz="0" w:space="0" w:color="auto"/>
        <w:bottom w:val="none" w:sz="0" w:space="0" w:color="auto"/>
        <w:right w:val="none" w:sz="0" w:space="0" w:color="auto"/>
      </w:divBdr>
      <w:divsChild>
        <w:div w:id="571081424">
          <w:marLeft w:val="547"/>
          <w:marRight w:val="0"/>
          <w:marTop w:val="106"/>
          <w:marBottom w:val="0"/>
          <w:divBdr>
            <w:top w:val="none" w:sz="0" w:space="0" w:color="auto"/>
            <w:left w:val="none" w:sz="0" w:space="0" w:color="auto"/>
            <w:bottom w:val="none" w:sz="0" w:space="0" w:color="auto"/>
            <w:right w:val="none" w:sz="0" w:space="0" w:color="auto"/>
          </w:divBdr>
        </w:div>
      </w:divsChild>
    </w:div>
    <w:div w:id="20921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file:///C:\Users\ehindson\AppData\Local\Temp\notesD95B6A\www.brit-thoracic.org.uk\document-library\clinical-information\lung-cancer\lung-cancer-guidelines\btsscts-guidelines-on-the-radical-management-of-patients-with-lung-cancer\" TargetMode="External"/><Relationship Id="rId39" Type="http://schemas.openxmlformats.org/officeDocument/2006/relationships/hyperlink" Target="file:///C:\Users\ehindson\AppData\Local\Temp\notesD95B6A\www.hdc.org.nz\media\283893\delayed%20diagnosis%20of%20cancer%20in%20primary%20care%20%20nz%20doctor%20april%202015.pdf" TargetMode="External"/><Relationship Id="rId21" Type="http://schemas.openxmlformats.org/officeDocument/2006/relationships/footer" Target="footer6.xml"/><Relationship Id="rId34" Type="http://schemas.openxmlformats.org/officeDocument/2006/relationships/hyperlink" Target="file:///C:\Users\ehindson\AppData\Local\Temp\notesD95B6A\www.healthcareimprovementscotland.org\programmes\cancer\cancer_resources\standards_for_cancer_services.aspx" TargetMode="External"/><Relationship Id="rId42" Type="http://schemas.openxmlformats.org/officeDocument/2006/relationships/hyperlink" Target="http://www.ncbi.nlm.nih.gov/pmc/articles/PMC3207089/" TargetMode="External"/><Relationship Id="rId47" Type="http://schemas.openxmlformats.org/officeDocument/2006/relationships/hyperlink" Target="file:///C:\Users\ehindson\AppData\Local\Temp\notesD95B6A\www.health.govt.nz\national-patient-flow-phase-1" TargetMode="External"/><Relationship Id="rId50" Type="http://schemas.openxmlformats.org/officeDocument/2006/relationships/hyperlink" Target="file:///C:\Users\ehindson\AppData\Local\Temp\notesD95B6A\www.brit-thoracic.org.uk\document-library\clinical-information\lung-cancer\lung-cancer-guidelines\btsscts-guidelines-on-the-radical-management-of-patients-with-lung-cancer\" TargetMode="External"/><Relationship Id="rId55" Type="http://schemas.openxmlformats.org/officeDocument/2006/relationships/hyperlink" Target="file:///C:\Users\ehindson\AppData\Local\Temp\notesD95B6A\www.health.govt.nz\publication\guidance-improving-supportive-care-adults-cancer-new-zealand" TargetMode="External"/><Relationship Id="rId63" Type="http://schemas.openxmlformats.org/officeDocument/2006/relationships/hyperlink" Target="file://C:\Users\ehindson\AppData\Local\Temp\notesD95B6A\www.researchgate.net\publication\26248863_The_European_Respiratory_Society_and_European_Society_of_Thoracic_Surgeons_clinical_guidelines_for_evaluating_fitness_for_radical_treatment_(surgery_and_chemoradiotherapy)_in_patients_with_lung_cancer" TargetMode="External"/><Relationship Id="rId68" Type="http://schemas.openxmlformats.org/officeDocument/2006/relationships/hyperlink" Target="http://www.nice.org.uk/guidance/cg121/resources/guidance-lung-cancer-pdf" TargetMode="External"/><Relationship Id="rId7" Type="http://schemas.openxmlformats.org/officeDocument/2006/relationships/footnotes" Target="footnotes.xml"/><Relationship Id="rId71" Type="http://schemas.openxmlformats.org/officeDocument/2006/relationships/hyperlink" Target="http://healthitboard.health.govt.nz/hiso-10038-national-cancer-core-data-standard" TargetMode="External"/><Relationship Id="rId2" Type="http://schemas.openxmlformats.org/officeDocument/2006/relationships/numbering" Target="numbering.xml"/><Relationship Id="rId16" Type="http://schemas.openxmlformats.org/officeDocument/2006/relationships/hyperlink" Target="http://www.northerncancernetwork.org.nz" TargetMode="External"/><Relationship Id="rId29" Type="http://schemas.openxmlformats.org/officeDocument/2006/relationships/hyperlink" Target="https://umfiasi2015.files.wordpress.com/2013/03/pulmon-iaslc-manual.pdf" TargetMode="External"/><Relationship Id="rId11" Type="http://schemas.openxmlformats.org/officeDocument/2006/relationships/footer" Target="footer1.xml"/><Relationship Id="rId24" Type="http://schemas.openxmlformats.org/officeDocument/2006/relationships/hyperlink" Target="file:///C:\Users\ehindson\AppData\Local\Temp\notesD95B6A\www.caresearch.com.au\Caresearch\Portals\0\Documents\WhatisPalliativeCare\NationalProgram\NeedsAssessmentTool_NAT-PD.pdf" TargetMode="External"/><Relationship Id="rId32" Type="http://schemas.openxmlformats.org/officeDocument/2006/relationships/hyperlink" Target="file:///C:\Users\ehindson\AppData\Local\Temp\notesD95B6A\www.moh.govt.nz\moh.nsf\indexmh\targeting-smokers-better-help-for-smokers-to-quit" TargetMode="External"/><Relationship Id="rId37" Type="http://schemas.openxmlformats.org/officeDocument/2006/relationships/hyperlink" Target="http://docs.health.vic.gov.au/docs/doc/DA00DB38C46CE6D9CA2578E700839881/$FILE/lungpmf.pdf" TargetMode="External"/><Relationship Id="rId40" Type="http://schemas.openxmlformats.org/officeDocument/2006/relationships/hyperlink" Target="file:///C:\Users\ehindson\AppData\Local\Temp\notesD95B6A\www.health.govt.nz\system\files\documents\publications\nz-guidelines-helping-people-stop-smoking-jun14.pdf" TargetMode="External"/><Relationship Id="rId45" Type="http://schemas.openxmlformats.org/officeDocument/2006/relationships/hyperlink" Target="http://nsfl.health.govt.nz/accountability/performance-and-monitoring/business-rules-and-templates-reporting/shorter-waits" TargetMode="External"/><Relationship Id="rId53" Type="http://schemas.openxmlformats.org/officeDocument/2006/relationships/hyperlink" Target="file:///C:\Users\ehindson\AppData\Local\Temp\notesD95B6A\www.cancerni.net\files\NCAT_MDT_Characteristics_FINAL.pdf" TargetMode="External"/><Relationship Id="rId58" Type="http://schemas.openxmlformats.org/officeDocument/2006/relationships/hyperlink" Target="file:///C:\Users\ehindson\AppData\Local\Temp\notesD95B6A\www.health.govt.nz\our-work\diseases-and-conditions\cancer-programme\faster-cancer-treatment-programme\patient-pathway-coordination" TargetMode="External"/><Relationship Id="rId66" Type="http://schemas.openxmlformats.org/officeDocument/2006/relationships/hyperlink" Target="file:///C:\Users\ehindson\AppData\Local\Temp\notesD95B6A\www.health.govt.nz\publication\advance-care-planning-guide-new-zealand-health-care-workforce"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ealth.govt.nz" TargetMode="External"/><Relationship Id="rId23" Type="http://schemas.openxmlformats.org/officeDocument/2006/relationships/image" Target="media/image3.png"/><Relationship Id="rId28" Type="http://schemas.openxmlformats.org/officeDocument/2006/relationships/hyperlink" Target="file://C:\Users\ehindson\AppData\Local\Temp\notesD95B6A\www.researchgate.net\publication\26248863_The_European_Respiratory_Society_and_European_Society_of_Thoracic_Surgeons_clinical_guidelines_for_evaluating_fitness_for_radical_treatment_(surgery_and_chemoradiotherapy)_in_patients_with_lung_cancer" TargetMode="External"/><Relationship Id="rId36" Type="http://schemas.openxmlformats.org/officeDocument/2006/relationships/hyperlink" Target="file:///C:\Users\ehindson\AppData\Local\Temp\notesD95B6A\www.health.govt.nz\publication\suspected-cancer-primary-care-guidelines-investigation-referral-and-reducing-ethnic-disparities" TargetMode="External"/><Relationship Id="rId49" Type="http://schemas.openxmlformats.org/officeDocument/2006/relationships/hyperlink" Target="file:///C:\Users\ehindson\AppData\Local\Temp\notesD95B6A\www.ranzcr.edu.au\quality-a-safety\radiation-oncology\tripartite-radiation-oncology-practice-standards" TargetMode="External"/><Relationship Id="rId57" Type="http://schemas.openxmlformats.org/officeDocument/2006/relationships/hyperlink" Target="file:///C:\Users\ehindson\AppData\Local\Temp\notesD95B6A\www.health.govt.nz\publication\advance-care-planning-guide-new-zealand-health-care-workforce" TargetMode="External"/><Relationship Id="rId61" Type="http://schemas.openxmlformats.org/officeDocument/2006/relationships/hyperlink" Target="file:///C:\Users\ehindson\AppData\Local\Temp\notesD95B6A\www.nhmrc.gov.au\_files_nhmrc\file\publications\synopses\cp97.pdf"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file:///C:\Users\ehindson\AppData\Local\Temp\notesD95B6A\www.health.govt.nz\system\files\documents\publications\nz-guidelines-helping-people-stop-smoking-jun14.pdf" TargetMode="External"/><Relationship Id="rId44" Type="http://schemas.openxmlformats.org/officeDocument/2006/relationships/hyperlink" Target="file:///C:\Users\ehindson\AppData\Local\Temp\notesD95B6A\www.health.govt.nz\publication\suspected-cancer-primary-care-guidelines-investigation-referral-and-reducing-ethnic-disparities" TargetMode="External"/><Relationship Id="rId52" Type="http://schemas.openxmlformats.org/officeDocument/2006/relationships/hyperlink" Target="file:///C:\Users\ehindson\AppData\Local\Temp\notesD95B6A\www.health.govt.nz\publication\guidance-implementing-high-quality-multidisciplinary-meetings" TargetMode="External"/><Relationship Id="rId60" Type="http://schemas.openxmlformats.org/officeDocument/2006/relationships/hyperlink" Target="file:///C:\Users\ehindson\AppData\Local\Temp\notesD95B6A\www.health.govt.nz\publication\evaluation-cancer-nurse-coordinator-initiative-annual-report-2014" TargetMode="External"/><Relationship Id="rId65" Type="http://schemas.openxmlformats.org/officeDocument/2006/relationships/hyperlink" Target="file:///C:\Users\ehindson\AppData\Local\Temp\notesD95B6A\www.health.govt.nz\system\files\documents\publications\palliativecarestrategy.pdf"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file:///C:\Users\ehindson\AppData\Local\Temp\notesD95B6A\www.cancercare.on.ca\common\pages\UserFile.aspx%3ffileId=13580" TargetMode="External"/><Relationship Id="rId30" Type="http://schemas.openxmlformats.org/officeDocument/2006/relationships/hyperlink" Target="http://www.health.govt.nz/publication/guidance-implementing-high-quality-multidisciplinary-meetings" TargetMode="External"/><Relationship Id="rId35" Type="http://schemas.openxmlformats.org/officeDocument/2006/relationships/hyperlink" Target="http://www.nice.org.uk/guidance/cg121/resources/guidance-lung-cancer-pdf" TargetMode="External"/><Relationship Id="rId43" Type="http://schemas.openxmlformats.org/officeDocument/2006/relationships/hyperlink" Target="file:///C:\Users\ehindson\AppData\Local\Temp\notesD95B6A\www.health.govt.nz\our-work\diseases-and-conditions\cancer-programme\faster-cancer-treatment-programme" TargetMode="External"/><Relationship Id="rId48" Type="http://schemas.openxmlformats.org/officeDocument/2006/relationships/hyperlink" Target="file:///C:\Users\ehindson\AppData\Local\Temp\notesD95B6A\www.health.govt.nz\publication\suspected-cancer-primary-care-guidelines-investigation-referral-and-reducing-ethnic-disparities" TargetMode="External"/><Relationship Id="rId56" Type="http://schemas.openxmlformats.org/officeDocument/2006/relationships/hyperlink" Target="file:///C:\Users\ehindson\AppData\Local\Temp\notesD95B6A\www.health.govt.nz\system\files\documents\publications\palliativecarestrategy.pdf" TargetMode="External"/><Relationship Id="rId64" Type="http://schemas.openxmlformats.org/officeDocument/2006/relationships/hyperlink" Target="https://umfiasi2015.files.wordpress.com/2013/03/pulmon-iaslc-manual.pdf" TargetMode="External"/><Relationship Id="rId69" Type="http://schemas.openxmlformats.org/officeDocument/2006/relationships/hyperlink" Target="file:///C:\Users\ehindson\AppData\Local\Temp\notesD95B6A\www.health.govt.nz\publication\resource-and-capability-framework-integrated-adult-palliative-care-services-new-zealand" TargetMode="External"/><Relationship Id="rId8" Type="http://schemas.openxmlformats.org/officeDocument/2006/relationships/endnotes" Target="endnotes.xml"/><Relationship Id="rId51" Type="http://schemas.openxmlformats.org/officeDocument/2006/relationships/hyperlink" Target="http://www.nice.org.uk/guidance/cg121/resources/guidance-lung-cancer-pdf" TargetMode="External"/><Relationship Id="rId72"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entralcancernetwork.org.nz" TargetMode="External"/><Relationship Id="rId25" Type="http://schemas.openxmlformats.org/officeDocument/2006/relationships/hyperlink" Target="file:///C:\Users\ehindson\AppData\Local\Temp\notesD95B6A\www.nhmrc.gov.au\_files_nhmrc\file\publications\synopses\cp97.pdf" TargetMode="External"/><Relationship Id="rId33" Type="http://schemas.openxmlformats.org/officeDocument/2006/relationships/hyperlink" Target="file:///C:\Users\ehindson\AppData\Local\Temp\notesD95B6A\www.nccn.org\professionals\physician_gls\f_guidelines.asp" TargetMode="External"/><Relationship Id="rId38" Type="http://schemas.openxmlformats.org/officeDocument/2006/relationships/hyperlink" Target="file:///C:\Users\ehindson\AppData\Local\Temp\notesD95B6A\www.wales.nhs.uk\documents\Lung_Eng.pdf" TargetMode="External"/><Relationship Id="rId46" Type="http://schemas.openxmlformats.org/officeDocument/2006/relationships/hyperlink" Target="file:///C:\Users\ehindson\AppData\Local\Temp\notesD95B6A\www.health.govt.nz\system\files\documents\publications\improving-the-system-toolkit-for-dhbs.pdf" TargetMode="External"/><Relationship Id="rId59" Type="http://schemas.openxmlformats.org/officeDocument/2006/relationships/hyperlink" Target="file:///C:\Users\ehindson\AppData\Local\Temp\notesD95B6A\www.health.govt.nz\publication\resource-and-capability-framework-integrated-adult-palliative-care-services-new-zealand" TargetMode="External"/><Relationship Id="rId67" Type="http://schemas.openxmlformats.org/officeDocument/2006/relationships/hyperlink" Target="file:///C:\Users\ehindson\AppData\Local\Temp\notesD95B6A\www.health.govt.nz\publication\resource-and-capability-framework-integrated-adult-palliative-care-services-new-zealand" TargetMode="External"/><Relationship Id="rId20" Type="http://schemas.openxmlformats.org/officeDocument/2006/relationships/header" Target="header4.xml"/><Relationship Id="rId41" Type="http://schemas.openxmlformats.org/officeDocument/2006/relationships/hyperlink" Target="http://www.nice.org.uk/guidance/cg121/resources/guidance-lung-cancer-pdf" TargetMode="External"/><Relationship Id="rId54" Type="http://schemas.openxmlformats.org/officeDocument/2006/relationships/hyperlink" Target="http://www.health.govt.nz/publication/lung-cancer-multidisciplinary-meeting-toolkit" TargetMode="External"/><Relationship Id="rId62" Type="http://schemas.openxmlformats.org/officeDocument/2006/relationships/hyperlink" Target="file:///C:\Users\ehindson\AppData\Local\Temp\notesD95B6A\www.brit-thoracic.org.uk\document-library\clinical-information\lung-cancer\lung-cancer-guidelines\btsscts-guidelines-on-the-radical-management-of-patients-with-lung-cancer\" TargetMode="External"/><Relationship Id="rId70" Type="http://schemas.openxmlformats.org/officeDocument/2006/relationships/hyperlink" Target="http://www.nice.org.uk/guidance/cg121/resources/guidance-lung-cancer-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C582-8F19-47DE-9556-C17480AC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47</Pages>
  <Words>8974</Words>
  <Characters>67333</Characters>
  <Application>Microsoft Office Word</Application>
  <DocSecurity>0</DocSecurity>
  <Lines>561</Lines>
  <Paragraphs>152</Paragraphs>
  <ScaleCrop>false</ScaleCrop>
  <HeadingPairs>
    <vt:vector size="2" baseType="variant">
      <vt:variant>
        <vt:lpstr>Title</vt:lpstr>
      </vt:variant>
      <vt:variant>
        <vt:i4>1</vt:i4>
      </vt:variant>
    </vt:vector>
  </HeadingPairs>
  <TitlesOfParts>
    <vt:vector size="1" baseType="lpstr">
      <vt:lpstr>Standards of Service Provision for Lung Cancer Patients in New Zealand</vt:lpstr>
    </vt:vector>
  </TitlesOfParts>
  <Company>Waikato District Health Board</Company>
  <LinksUpToDate>false</LinksUpToDate>
  <CharactersWithSpaces>76155</CharactersWithSpaces>
  <SharedDoc>false</SharedDoc>
  <HLinks>
    <vt:vector size="510" baseType="variant">
      <vt:variant>
        <vt:i4>2031632</vt:i4>
      </vt:variant>
      <vt:variant>
        <vt:i4>348</vt:i4>
      </vt:variant>
      <vt:variant>
        <vt:i4>0</vt:i4>
      </vt:variant>
      <vt:variant>
        <vt:i4>5</vt:i4>
      </vt:variant>
      <vt:variant>
        <vt:lpwstr>http://healthitboard.health.govt.nz/hiso-10038-national-cancer-core-data-standard</vt:lpwstr>
      </vt:variant>
      <vt:variant>
        <vt:lpwstr/>
      </vt:variant>
      <vt:variant>
        <vt:i4>458753</vt:i4>
      </vt:variant>
      <vt:variant>
        <vt:i4>345</vt:i4>
      </vt:variant>
      <vt:variant>
        <vt:i4>0</vt:i4>
      </vt:variant>
      <vt:variant>
        <vt:i4>5</vt:i4>
      </vt:variant>
      <vt:variant>
        <vt:lpwstr>http://www.nice.org.uk/guidance/cg121/resources/guidance-lung-cancer-pdf</vt:lpwstr>
      </vt:variant>
      <vt:variant>
        <vt:lpwstr/>
      </vt:variant>
      <vt:variant>
        <vt:i4>6160435</vt:i4>
      </vt:variant>
      <vt:variant>
        <vt:i4>342</vt:i4>
      </vt:variant>
      <vt:variant>
        <vt:i4>0</vt:i4>
      </vt:variant>
      <vt:variant>
        <vt:i4>5</vt:i4>
      </vt:variant>
      <vt:variant>
        <vt:lpwstr>C:\Users\ehindson\AppData\Local\Temp\notesD95B6A\www.health.govt.nz\publication\resource-and-capability-framework-integrated-adult-palliative-care-services-new-zealand</vt:lpwstr>
      </vt:variant>
      <vt:variant>
        <vt:lpwstr/>
      </vt:variant>
      <vt:variant>
        <vt:i4>458753</vt:i4>
      </vt:variant>
      <vt:variant>
        <vt:i4>339</vt:i4>
      </vt:variant>
      <vt:variant>
        <vt:i4>0</vt:i4>
      </vt:variant>
      <vt:variant>
        <vt:i4>5</vt:i4>
      </vt:variant>
      <vt:variant>
        <vt:lpwstr>http://www.nice.org.uk/guidance/cg121/resources/guidance-lung-cancer-pdf</vt:lpwstr>
      </vt:variant>
      <vt:variant>
        <vt:lpwstr/>
      </vt:variant>
      <vt:variant>
        <vt:i4>6160435</vt:i4>
      </vt:variant>
      <vt:variant>
        <vt:i4>336</vt:i4>
      </vt:variant>
      <vt:variant>
        <vt:i4>0</vt:i4>
      </vt:variant>
      <vt:variant>
        <vt:i4>5</vt:i4>
      </vt:variant>
      <vt:variant>
        <vt:lpwstr>C:\Users\ehindson\AppData\Local\Temp\notesD95B6A\www.health.govt.nz\publication\resource-and-capability-framework-integrated-adult-palliative-care-services-new-zealand</vt:lpwstr>
      </vt:variant>
      <vt:variant>
        <vt:lpwstr/>
      </vt:variant>
      <vt:variant>
        <vt:i4>7667738</vt:i4>
      </vt:variant>
      <vt:variant>
        <vt:i4>333</vt:i4>
      </vt:variant>
      <vt:variant>
        <vt:i4>0</vt:i4>
      </vt:variant>
      <vt:variant>
        <vt:i4>5</vt:i4>
      </vt:variant>
      <vt:variant>
        <vt:lpwstr>C:\Users\ehindson\AppData\Local\Temp\notesD95B6A\www.health.govt.nz\publication\advance-care-planning-guide-new-zealand-health-care-workforce</vt:lpwstr>
      </vt:variant>
      <vt:variant>
        <vt:lpwstr/>
      </vt:variant>
      <vt:variant>
        <vt:i4>262160</vt:i4>
      </vt:variant>
      <vt:variant>
        <vt:i4>330</vt:i4>
      </vt:variant>
      <vt:variant>
        <vt:i4>0</vt:i4>
      </vt:variant>
      <vt:variant>
        <vt:i4>5</vt:i4>
      </vt:variant>
      <vt:variant>
        <vt:lpwstr>C:\Users\ehindson\AppData\Local\Temp\notesD95B6A\www.health.govt.nz\system\files\documents\publications\palliativecarestrategy.pdf</vt:lpwstr>
      </vt:variant>
      <vt:variant>
        <vt:lpwstr/>
      </vt:variant>
      <vt:variant>
        <vt:i4>3538979</vt:i4>
      </vt:variant>
      <vt:variant>
        <vt:i4>327</vt:i4>
      </vt:variant>
      <vt:variant>
        <vt:i4>0</vt:i4>
      </vt:variant>
      <vt:variant>
        <vt:i4>5</vt:i4>
      </vt:variant>
      <vt:variant>
        <vt:lpwstr>https://umfiasi2015.files.wordpress.com/2013/03/pulmon-iaslc-manual.pdf</vt:lpwstr>
      </vt:variant>
      <vt:variant>
        <vt:lpwstr/>
      </vt:variant>
      <vt:variant>
        <vt:i4>262153</vt:i4>
      </vt:variant>
      <vt:variant>
        <vt:i4>324</vt:i4>
      </vt:variant>
      <vt:variant>
        <vt:i4>0</vt:i4>
      </vt:variant>
      <vt:variant>
        <vt:i4>5</vt:i4>
      </vt:variant>
      <vt:variant>
        <vt:lpwstr>http:///</vt:lpwstr>
      </vt:variant>
      <vt:variant>
        <vt:lpwstr/>
      </vt:variant>
      <vt:variant>
        <vt:i4>4980813</vt:i4>
      </vt:variant>
      <vt:variant>
        <vt:i4>321</vt:i4>
      </vt:variant>
      <vt:variant>
        <vt:i4>0</vt:i4>
      </vt:variant>
      <vt:variant>
        <vt:i4>5</vt:i4>
      </vt:variant>
      <vt:variant>
        <vt:lpwstr>file://C:\Users\ehindson\AppData\Local\Temp\notesD95B6A\www.researchgate.net\publication\26248863_The_European_Respiratory_Society_and_European_Society_of_Thoracic_Surgeons_clinical_guidelines_for_evaluating_fitness_for_radical_treatment_(surgery_and_chemoradiotherapy)_in_patients_with_lung_cancer</vt:lpwstr>
      </vt:variant>
      <vt:variant>
        <vt:lpwstr/>
      </vt:variant>
      <vt:variant>
        <vt:i4>5767185</vt:i4>
      </vt:variant>
      <vt:variant>
        <vt:i4>318</vt:i4>
      </vt:variant>
      <vt:variant>
        <vt:i4>0</vt:i4>
      </vt:variant>
      <vt:variant>
        <vt:i4>5</vt:i4>
      </vt:variant>
      <vt:variant>
        <vt:lpwstr>C:\Users\ehindson\AppData\Local\Temp\notesD95B6A\www.brit-thoracic.org.uk\document-library\clinical-information\lung-cancer\lung-cancer-guidelines\btsscts-guidelines-on-the-radical-management-of-patients-with-lung-cancer\</vt:lpwstr>
      </vt:variant>
      <vt:variant>
        <vt:lpwstr/>
      </vt:variant>
      <vt:variant>
        <vt:i4>4063271</vt:i4>
      </vt:variant>
      <vt:variant>
        <vt:i4>315</vt:i4>
      </vt:variant>
      <vt:variant>
        <vt:i4>0</vt:i4>
      </vt:variant>
      <vt:variant>
        <vt:i4>5</vt:i4>
      </vt:variant>
      <vt:variant>
        <vt:lpwstr>C:\Users\ehindson\AppData\Local\Temp\notesD95B6A\www.nhmrc.gov.au\_files_nhmrc\file\publications\synopses\cp97.pdf</vt:lpwstr>
      </vt:variant>
      <vt:variant>
        <vt:lpwstr/>
      </vt:variant>
      <vt:variant>
        <vt:i4>6357005</vt:i4>
      </vt:variant>
      <vt:variant>
        <vt:i4>312</vt:i4>
      </vt:variant>
      <vt:variant>
        <vt:i4>0</vt:i4>
      </vt:variant>
      <vt:variant>
        <vt:i4>5</vt:i4>
      </vt:variant>
      <vt:variant>
        <vt:lpwstr>C:\Users\ehindson\AppData\Local\Temp\notesD95B6A\www.health.govt.nz\publication\evaluation-cancer-nurse-coordinator-initiative-annual-report-2014</vt:lpwstr>
      </vt:variant>
      <vt:variant>
        <vt:lpwstr/>
      </vt:variant>
      <vt:variant>
        <vt:i4>6160435</vt:i4>
      </vt:variant>
      <vt:variant>
        <vt:i4>309</vt:i4>
      </vt:variant>
      <vt:variant>
        <vt:i4>0</vt:i4>
      </vt:variant>
      <vt:variant>
        <vt:i4>5</vt:i4>
      </vt:variant>
      <vt:variant>
        <vt:lpwstr>C:\Users\ehindson\AppData\Local\Temp\notesD95B6A\www.health.govt.nz\publication\resource-and-capability-framework-integrated-adult-palliative-care-services-new-zealand</vt:lpwstr>
      </vt:variant>
      <vt:variant>
        <vt:lpwstr/>
      </vt:variant>
      <vt:variant>
        <vt:i4>5505115</vt:i4>
      </vt:variant>
      <vt:variant>
        <vt:i4>306</vt:i4>
      </vt:variant>
      <vt:variant>
        <vt:i4>0</vt:i4>
      </vt:variant>
      <vt:variant>
        <vt:i4>5</vt:i4>
      </vt:variant>
      <vt:variant>
        <vt:lpwstr>C:\Users\ehindson\AppData\Local\Temp\notesD95B6A\www.health.govt.nz\our-work\diseases-and-conditions\cancer-programme\faster-cancer-treatment-programme\patient-pathway-coordination</vt:lpwstr>
      </vt:variant>
      <vt:variant>
        <vt:lpwstr/>
      </vt:variant>
      <vt:variant>
        <vt:i4>7667738</vt:i4>
      </vt:variant>
      <vt:variant>
        <vt:i4>303</vt:i4>
      </vt:variant>
      <vt:variant>
        <vt:i4>0</vt:i4>
      </vt:variant>
      <vt:variant>
        <vt:i4>5</vt:i4>
      </vt:variant>
      <vt:variant>
        <vt:lpwstr>C:\Users\ehindson\AppData\Local\Temp\notesD95B6A\www.health.govt.nz\publication\advance-care-planning-guide-new-zealand-health-care-workforce</vt:lpwstr>
      </vt:variant>
      <vt:variant>
        <vt:lpwstr/>
      </vt:variant>
      <vt:variant>
        <vt:i4>262160</vt:i4>
      </vt:variant>
      <vt:variant>
        <vt:i4>300</vt:i4>
      </vt:variant>
      <vt:variant>
        <vt:i4>0</vt:i4>
      </vt:variant>
      <vt:variant>
        <vt:i4>5</vt:i4>
      </vt:variant>
      <vt:variant>
        <vt:lpwstr>C:\Users\ehindson\AppData\Local\Temp\notesD95B6A\www.health.govt.nz\system\files\documents\publications\palliativecarestrategy.pdf</vt:lpwstr>
      </vt:variant>
      <vt:variant>
        <vt:lpwstr/>
      </vt:variant>
      <vt:variant>
        <vt:i4>7471170</vt:i4>
      </vt:variant>
      <vt:variant>
        <vt:i4>297</vt:i4>
      </vt:variant>
      <vt:variant>
        <vt:i4>0</vt:i4>
      </vt:variant>
      <vt:variant>
        <vt:i4>5</vt:i4>
      </vt:variant>
      <vt:variant>
        <vt:lpwstr>C:\Users\ehindson\AppData\Local\Temp\notesD95B6A\www.health.govt.nz\publication\guidance-improving-supportive-care-adults-cancer-new-zealand</vt:lpwstr>
      </vt:variant>
      <vt:variant>
        <vt:lpwstr/>
      </vt:variant>
      <vt:variant>
        <vt:i4>2162723</vt:i4>
      </vt:variant>
      <vt:variant>
        <vt:i4>294</vt:i4>
      </vt:variant>
      <vt:variant>
        <vt:i4>0</vt:i4>
      </vt:variant>
      <vt:variant>
        <vt:i4>5</vt:i4>
      </vt:variant>
      <vt:variant>
        <vt:lpwstr>http://www.health.govt.nz/publication/lung-cancer-multidisciplinary-meeting-toolkit</vt:lpwstr>
      </vt:variant>
      <vt:variant>
        <vt:lpwstr/>
      </vt:variant>
      <vt:variant>
        <vt:i4>1769544</vt:i4>
      </vt:variant>
      <vt:variant>
        <vt:i4>291</vt:i4>
      </vt:variant>
      <vt:variant>
        <vt:i4>0</vt:i4>
      </vt:variant>
      <vt:variant>
        <vt:i4>5</vt:i4>
      </vt:variant>
      <vt:variant>
        <vt:lpwstr>C:\Users\ehindson\AppData\Local\Temp\notesD95B6A\www.cancerni.net\files\NCAT_MDT_Characteristics_FINAL.pdf</vt:lpwstr>
      </vt:variant>
      <vt:variant>
        <vt:lpwstr/>
      </vt:variant>
      <vt:variant>
        <vt:i4>3997709</vt:i4>
      </vt:variant>
      <vt:variant>
        <vt:i4>288</vt:i4>
      </vt:variant>
      <vt:variant>
        <vt:i4>0</vt:i4>
      </vt:variant>
      <vt:variant>
        <vt:i4>5</vt:i4>
      </vt:variant>
      <vt:variant>
        <vt:lpwstr>C:\Users\ehindson\AppData\Local\Temp\notesD95B6A\www.health.govt.nz\publication\guidance-implementing-high-quality-multidisciplinary-meetings</vt:lpwstr>
      </vt:variant>
      <vt:variant>
        <vt:lpwstr/>
      </vt:variant>
      <vt:variant>
        <vt:i4>458753</vt:i4>
      </vt:variant>
      <vt:variant>
        <vt:i4>285</vt:i4>
      </vt:variant>
      <vt:variant>
        <vt:i4>0</vt:i4>
      </vt:variant>
      <vt:variant>
        <vt:i4>5</vt:i4>
      </vt:variant>
      <vt:variant>
        <vt:lpwstr>http://www.nice.org.uk/guidance/cg121/resources/guidance-lung-cancer-pdf</vt:lpwstr>
      </vt:variant>
      <vt:variant>
        <vt:lpwstr/>
      </vt:variant>
      <vt:variant>
        <vt:i4>5767185</vt:i4>
      </vt:variant>
      <vt:variant>
        <vt:i4>282</vt:i4>
      </vt:variant>
      <vt:variant>
        <vt:i4>0</vt:i4>
      </vt:variant>
      <vt:variant>
        <vt:i4>5</vt:i4>
      </vt:variant>
      <vt:variant>
        <vt:lpwstr>C:\Users\ehindson\AppData\Local\Temp\notesD95B6A\www.brit-thoracic.org.uk\document-library\clinical-information\lung-cancer\lung-cancer-guidelines\btsscts-guidelines-on-the-radical-management-of-patients-with-lung-cancer\</vt:lpwstr>
      </vt:variant>
      <vt:variant>
        <vt:lpwstr/>
      </vt:variant>
      <vt:variant>
        <vt:i4>8192102</vt:i4>
      </vt:variant>
      <vt:variant>
        <vt:i4>279</vt:i4>
      </vt:variant>
      <vt:variant>
        <vt:i4>0</vt:i4>
      </vt:variant>
      <vt:variant>
        <vt:i4>5</vt:i4>
      </vt:variant>
      <vt:variant>
        <vt:lpwstr>C:\Users\ehindson\AppData\Local\Temp\notesD95B6A\www.ranzcr.edu.au\quality-a-safety\radiation-oncology\tripartite-radiation-oncology-practice-standards</vt:lpwstr>
      </vt:variant>
      <vt:variant>
        <vt:lpwstr/>
      </vt:variant>
      <vt:variant>
        <vt:i4>4784173</vt:i4>
      </vt:variant>
      <vt:variant>
        <vt:i4>276</vt:i4>
      </vt:variant>
      <vt:variant>
        <vt:i4>0</vt:i4>
      </vt:variant>
      <vt:variant>
        <vt:i4>5</vt:i4>
      </vt:variant>
      <vt:variant>
        <vt:lpwstr>C:\Users\ehindson\AppData\Local\Temp\notesD95B6A\www.health.govt.nz\publication\suspected-cancer-primary-care-guidelines-investigation-referral-and-reducing-ethnic-disparities</vt:lpwstr>
      </vt:variant>
      <vt:variant>
        <vt:lpwstr/>
      </vt:variant>
      <vt:variant>
        <vt:i4>6094879</vt:i4>
      </vt:variant>
      <vt:variant>
        <vt:i4>273</vt:i4>
      </vt:variant>
      <vt:variant>
        <vt:i4>0</vt:i4>
      </vt:variant>
      <vt:variant>
        <vt:i4>5</vt:i4>
      </vt:variant>
      <vt:variant>
        <vt:lpwstr>C:\Users\ehindson\AppData\Local\Temp\notesD95B6A\www.health.govt.nz\national-patient-flow-phase-1</vt:lpwstr>
      </vt:variant>
      <vt:variant>
        <vt:lpwstr/>
      </vt:variant>
      <vt:variant>
        <vt:i4>2883681</vt:i4>
      </vt:variant>
      <vt:variant>
        <vt:i4>270</vt:i4>
      </vt:variant>
      <vt:variant>
        <vt:i4>0</vt:i4>
      </vt:variant>
      <vt:variant>
        <vt:i4>5</vt:i4>
      </vt:variant>
      <vt:variant>
        <vt:lpwstr>C:\Users\ehindson\AppData\Local\Temp\notesD95B6A\www.health.govt.nz\system\files\documents\publications\improving-the-system-toolkit-for-dhbs.pdf</vt:lpwstr>
      </vt:variant>
      <vt:variant>
        <vt:lpwstr/>
      </vt:variant>
      <vt:variant>
        <vt:i4>1966149</vt:i4>
      </vt:variant>
      <vt:variant>
        <vt:i4>267</vt:i4>
      </vt:variant>
      <vt:variant>
        <vt:i4>0</vt:i4>
      </vt:variant>
      <vt:variant>
        <vt:i4>5</vt:i4>
      </vt:variant>
      <vt:variant>
        <vt:lpwstr>http://nsfl.health.govt.nz/accountability/performance-and-monitoring/business-rules-and-templates-reporting/shorter-waits</vt:lpwstr>
      </vt:variant>
      <vt:variant>
        <vt:lpwstr/>
      </vt:variant>
      <vt:variant>
        <vt:i4>4784173</vt:i4>
      </vt:variant>
      <vt:variant>
        <vt:i4>264</vt:i4>
      </vt:variant>
      <vt:variant>
        <vt:i4>0</vt:i4>
      </vt:variant>
      <vt:variant>
        <vt:i4>5</vt:i4>
      </vt:variant>
      <vt:variant>
        <vt:lpwstr>C:\Users\ehindson\AppData\Local\Temp\notesD95B6A\www.health.govt.nz\publication\suspected-cancer-primary-care-guidelines-investigation-referral-and-reducing-ethnic-disparities</vt:lpwstr>
      </vt:variant>
      <vt:variant>
        <vt:lpwstr/>
      </vt:variant>
      <vt:variant>
        <vt:i4>1310780</vt:i4>
      </vt:variant>
      <vt:variant>
        <vt:i4>261</vt:i4>
      </vt:variant>
      <vt:variant>
        <vt:i4>0</vt:i4>
      </vt:variant>
      <vt:variant>
        <vt:i4>5</vt:i4>
      </vt:variant>
      <vt:variant>
        <vt:lpwstr>C:\Users\ehindson\AppData\Local\Temp\notesD95B6A\www.health.govt.nz\our-work\diseases-and-conditions\cancer-programme\faster-cancer-treatment-programme</vt:lpwstr>
      </vt:variant>
      <vt:variant>
        <vt:lpwstr/>
      </vt:variant>
      <vt:variant>
        <vt:i4>720902</vt:i4>
      </vt:variant>
      <vt:variant>
        <vt:i4>258</vt:i4>
      </vt:variant>
      <vt:variant>
        <vt:i4>0</vt:i4>
      </vt:variant>
      <vt:variant>
        <vt:i4>5</vt:i4>
      </vt:variant>
      <vt:variant>
        <vt:lpwstr>http://www.ncbi.nlm.nih.gov/pmc/articles/PMC3207089/</vt:lpwstr>
      </vt:variant>
      <vt:variant>
        <vt:lpwstr/>
      </vt:variant>
      <vt:variant>
        <vt:i4>458753</vt:i4>
      </vt:variant>
      <vt:variant>
        <vt:i4>255</vt:i4>
      </vt:variant>
      <vt:variant>
        <vt:i4>0</vt:i4>
      </vt:variant>
      <vt:variant>
        <vt:i4>5</vt:i4>
      </vt:variant>
      <vt:variant>
        <vt:lpwstr>http://www.nice.org.uk/guidance/cg121/resources/guidance-lung-cancer-pdf</vt:lpwstr>
      </vt:variant>
      <vt:variant>
        <vt:lpwstr/>
      </vt:variant>
      <vt:variant>
        <vt:i4>1245199</vt:i4>
      </vt:variant>
      <vt:variant>
        <vt:i4>252</vt:i4>
      </vt:variant>
      <vt:variant>
        <vt:i4>0</vt:i4>
      </vt:variant>
      <vt:variant>
        <vt:i4>5</vt:i4>
      </vt:variant>
      <vt:variant>
        <vt:lpwstr>C:\Users\ehindson\AppData\Local\Temp\notesD95B6A\www.health.govt.nz\system\files\documents\publications\nz-guidelines-helping-people-stop-smoking-jun14.pdf</vt:lpwstr>
      </vt:variant>
      <vt:variant>
        <vt:lpwstr/>
      </vt:variant>
      <vt:variant>
        <vt:i4>65614</vt:i4>
      </vt:variant>
      <vt:variant>
        <vt:i4>249</vt:i4>
      </vt:variant>
      <vt:variant>
        <vt:i4>0</vt:i4>
      </vt:variant>
      <vt:variant>
        <vt:i4>5</vt:i4>
      </vt:variant>
      <vt:variant>
        <vt:lpwstr>C:\Users\ehindson\AppData\Local\Temp\notesD95B6A\www.hdc.org.nz\media\283893\delayed diagnosis of cancer in primary care  nz doctor april 2015.pdf</vt:lpwstr>
      </vt:variant>
      <vt:variant>
        <vt:lpwstr/>
      </vt:variant>
      <vt:variant>
        <vt:i4>2555951</vt:i4>
      </vt:variant>
      <vt:variant>
        <vt:i4>246</vt:i4>
      </vt:variant>
      <vt:variant>
        <vt:i4>0</vt:i4>
      </vt:variant>
      <vt:variant>
        <vt:i4>5</vt:i4>
      </vt:variant>
      <vt:variant>
        <vt:lpwstr>C:\Users\ehindson\AppData\Local\Temp\notesD95B6A\www.wales.nhs.uk\documents\Lung_Eng.pdf</vt:lpwstr>
      </vt:variant>
      <vt:variant>
        <vt:lpwstr/>
      </vt:variant>
      <vt:variant>
        <vt:i4>262153</vt:i4>
      </vt:variant>
      <vt:variant>
        <vt:i4>243</vt:i4>
      </vt:variant>
      <vt:variant>
        <vt:i4>0</vt:i4>
      </vt:variant>
      <vt:variant>
        <vt:i4>5</vt:i4>
      </vt:variant>
      <vt:variant>
        <vt:lpwstr>http:///</vt:lpwstr>
      </vt:variant>
      <vt:variant>
        <vt:lpwstr/>
      </vt:variant>
      <vt:variant>
        <vt:i4>5242899</vt:i4>
      </vt:variant>
      <vt:variant>
        <vt:i4>240</vt:i4>
      </vt:variant>
      <vt:variant>
        <vt:i4>0</vt:i4>
      </vt:variant>
      <vt:variant>
        <vt:i4>5</vt:i4>
      </vt:variant>
      <vt:variant>
        <vt:lpwstr>http://docs.health.vic.gov.au/docs/doc/DA00DB38C46CE6D9CA2578E700839881/$FILE/lungpmf.pdf</vt:lpwstr>
      </vt:variant>
      <vt:variant>
        <vt:lpwstr/>
      </vt:variant>
      <vt:variant>
        <vt:i4>4784173</vt:i4>
      </vt:variant>
      <vt:variant>
        <vt:i4>237</vt:i4>
      </vt:variant>
      <vt:variant>
        <vt:i4>0</vt:i4>
      </vt:variant>
      <vt:variant>
        <vt:i4>5</vt:i4>
      </vt:variant>
      <vt:variant>
        <vt:lpwstr>C:\Users\ehindson\AppData\Local\Temp\notesD95B6A\www.health.govt.nz\publication\suspected-cancer-primary-care-guidelines-investigation-referral-and-reducing-ethnic-disparities</vt:lpwstr>
      </vt:variant>
      <vt:variant>
        <vt:lpwstr/>
      </vt:variant>
      <vt:variant>
        <vt:i4>458753</vt:i4>
      </vt:variant>
      <vt:variant>
        <vt:i4>234</vt:i4>
      </vt:variant>
      <vt:variant>
        <vt:i4>0</vt:i4>
      </vt:variant>
      <vt:variant>
        <vt:i4>5</vt:i4>
      </vt:variant>
      <vt:variant>
        <vt:lpwstr>http://www.nice.org.uk/guidance/cg121/resources/guidance-lung-cancer-pdf</vt:lpwstr>
      </vt:variant>
      <vt:variant>
        <vt:lpwstr/>
      </vt:variant>
      <vt:variant>
        <vt:i4>4784187</vt:i4>
      </vt:variant>
      <vt:variant>
        <vt:i4>231</vt:i4>
      </vt:variant>
      <vt:variant>
        <vt:i4>0</vt:i4>
      </vt:variant>
      <vt:variant>
        <vt:i4>5</vt:i4>
      </vt:variant>
      <vt:variant>
        <vt:lpwstr>C:\Users\ehindson\AppData\Local\Temp\notesD95B6A\www.healthcareimprovementscotland.org\programmes\cancer\cancer_resources\standards_for_cancer_services.aspx</vt:lpwstr>
      </vt:variant>
      <vt:variant>
        <vt:lpwstr/>
      </vt:variant>
      <vt:variant>
        <vt:i4>3145845</vt:i4>
      </vt:variant>
      <vt:variant>
        <vt:i4>228</vt:i4>
      </vt:variant>
      <vt:variant>
        <vt:i4>0</vt:i4>
      </vt:variant>
      <vt:variant>
        <vt:i4>5</vt:i4>
      </vt:variant>
      <vt:variant>
        <vt:lpwstr>C:\Users\ehindson\AppData\Local\Temp\notesD95B6A\www.nccn.org\professionals\physician_gls\f_guidelines.asp</vt:lpwstr>
      </vt:variant>
      <vt:variant>
        <vt:lpwstr>nscl</vt:lpwstr>
      </vt:variant>
      <vt:variant>
        <vt:i4>1048660</vt:i4>
      </vt:variant>
      <vt:variant>
        <vt:i4>225</vt:i4>
      </vt:variant>
      <vt:variant>
        <vt:i4>0</vt:i4>
      </vt:variant>
      <vt:variant>
        <vt:i4>5</vt:i4>
      </vt:variant>
      <vt:variant>
        <vt:lpwstr>C:\Users\ehindson\AppData\Local\Temp\notesD95B6A\www.moh.govt.nz\moh.nsf\indexmh\targeting-smokers-better-help-for-smokers-to-quit</vt:lpwstr>
      </vt:variant>
      <vt:variant>
        <vt:lpwstr/>
      </vt:variant>
      <vt:variant>
        <vt:i4>1245199</vt:i4>
      </vt:variant>
      <vt:variant>
        <vt:i4>222</vt:i4>
      </vt:variant>
      <vt:variant>
        <vt:i4>0</vt:i4>
      </vt:variant>
      <vt:variant>
        <vt:i4>5</vt:i4>
      </vt:variant>
      <vt:variant>
        <vt:lpwstr>C:\Users\ehindson\AppData\Local\Temp\notesD95B6A\www.health.govt.nz\system\files\documents\publications\nz-guidelines-helping-people-stop-smoking-jun14.pdf</vt:lpwstr>
      </vt:variant>
      <vt:variant>
        <vt:lpwstr/>
      </vt:variant>
      <vt:variant>
        <vt:i4>3932283</vt:i4>
      </vt:variant>
      <vt:variant>
        <vt:i4>219</vt:i4>
      </vt:variant>
      <vt:variant>
        <vt:i4>0</vt:i4>
      </vt:variant>
      <vt:variant>
        <vt:i4>5</vt:i4>
      </vt:variant>
      <vt:variant>
        <vt:lpwstr>http://www.health.govt.nz/publication/guidance-implementing-high-quality-multidisciplinary-meetings</vt:lpwstr>
      </vt:variant>
      <vt:variant>
        <vt:lpwstr/>
      </vt:variant>
      <vt:variant>
        <vt:i4>3538979</vt:i4>
      </vt:variant>
      <vt:variant>
        <vt:i4>216</vt:i4>
      </vt:variant>
      <vt:variant>
        <vt:i4>0</vt:i4>
      </vt:variant>
      <vt:variant>
        <vt:i4>5</vt:i4>
      </vt:variant>
      <vt:variant>
        <vt:lpwstr>https://umfiasi2015.files.wordpress.com/2013/03/pulmon-iaslc-manual.pdf</vt:lpwstr>
      </vt:variant>
      <vt:variant>
        <vt:lpwstr/>
      </vt:variant>
      <vt:variant>
        <vt:i4>262153</vt:i4>
      </vt:variant>
      <vt:variant>
        <vt:i4>213</vt:i4>
      </vt:variant>
      <vt:variant>
        <vt:i4>0</vt:i4>
      </vt:variant>
      <vt:variant>
        <vt:i4>5</vt:i4>
      </vt:variant>
      <vt:variant>
        <vt:lpwstr>http:///</vt:lpwstr>
      </vt:variant>
      <vt:variant>
        <vt:lpwstr/>
      </vt:variant>
      <vt:variant>
        <vt:i4>4980813</vt:i4>
      </vt:variant>
      <vt:variant>
        <vt:i4>210</vt:i4>
      </vt:variant>
      <vt:variant>
        <vt:i4>0</vt:i4>
      </vt:variant>
      <vt:variant>
        <vt:i4>5</vt:i4>
      </vt:variant>
      <vt:variant>
        <vt:lpwstr>file://C:\Users\ehindson\AppData\Local\Temp\notesD95B6A\www.researchgate.net\publication\26248863_The_European_Respiratory_Society_and_European_Society_of_Thoracic_Surgeons_clinical_guidelines_for_evaluating_fitness_for_radical_treatment_(surgery_and_chemoradiotherapy)_in_patients_with_lung_cancer</vt:lpwstr>
      </vt:variant>
      <vt:variant>
        <vt:lpwstr/>
      </vt:variant>
      <vt:variant>
        <vt:i4>5111896</vt:i4>
      </vt:variant>
      <vt:variant>
        <vt:i4>207</vt:i4>
      </vt:variant>
      <vt:variant>
        <vt:i4>0</vt:i4>
      </vt:variant>
      <vt:variant>
        <vt:i4>5</vt:i4>
      </vt:variant>
      <vt:variant>
        <vt:lpwstr>C:\Users\ehindson\AppData\Local\Temp\notesD95B6A\www.cancercare.on.ca\common\pages\UserFile.aspx?fileId=13580</vt:lpwstr>
      </vt:variant>
      <vt:variant>
        <vt:lpwstr/>
      </vt:variant>
      <vt:variant>
        <vt:i4>5767185</vt:i4>
      </vt:variant>
      <vt:variant>
        <vt:i4>204</vt:i4>
      </vt:variant>
      <vt:variant>
        <vt:i4>0</vt:i4>
      </vt:variant>
      <vt:variant>
        <vt:i4>5</vt:i4>
      </vt:variant>
      <vt:variant>
        <vt:lpwstr>C:\Users\ehindson\AppData\Local\Temp\notesD95B6A\www.brit-thoracic.org.uk\document-library\clinical-information\lung-cancer\lung-cancer-guidelines\btsscts-guidelines-on-the-radical-management-of-patients-with-lung-cancer\</vt:lpwstr>
      </vt:variant>
      <vt:variant>
        <vt:lpwstr/>
      </vt:variant>
      <vt:variant>
        <vt:i4>4063271</vt:i4>
      </vt:variant>
      <vt:variant>
        <vt:i4>201</vt:i4>
      </vt:variant>
      <vt:variant>
        <vt:i4>0</vt:i4>
      </vt:variant>
      <vt:variant>
        <vt:i4>5</vt:i4>
      </vt:variant>
      <vt:variant>
        <vt:lpwstr>C:\Users\ehindson\AppData\Local\Temp\notesD95B6A\www.nhmrc.gov.au\_files_nhmrc\file\publications\synopses\cp97.pdf</vt:lpwstr>
      </vt:variant>
      <vt:variant>
        <vt:lpwstr/>
      </vt:variant>
      <vt:variant>
        <vt:i4>8126554</vt:i4>
      </vt:variant>
      <vt:variant>
        <vt:i4>198</vt:i4>
      </vt:variant>
      <vt:variant>
        <vt:i4>0</vt:i4>
      </vt:variant>
      <vt:variant>
        <vt:i4>5</vt:i4>
      </vt:variant>
      <vt:variant>
        <vt:lpwstr>C:\Users\ehindson\AppData\Local\Temp\notesD95B6A\www.caresearch.com.au\Caresearch\Portals\0\Documents\WhatisPalliativeCare\NationalProgram\NeedsAssessmentTool_NAT-PD.pdf</vt:lpwstr>
      </vt:variant>
      <vt:variant>
        <vt:lpwstr/>
      </vt:variant>
      <vt:variant>
        <vt:i4>1441843</vt:i4>
      </vt:variant>
      <vt:variant>
        <vt:i4>191</vt:i4>
      </vt:variant>
      <vt:variant>
        <vt:i4>0</vt:i4>
      </vt:variant>
      <vt:variant>
        <vt:i4>5</vt:i4>
      </vt:variant>
      <vt:variant>
        <vt:lpwstr/>
      </vt:variant>
      <vt:variant>
        <vt:lpwstr>_Toc447203042</vt:lpwstr>
      </vt:variant>
      <vt:variant>
        <vt:i4>1441843</vt:i4>
      </vt:variant>
      <vt:variant>
        <vt:i4>185</vt:i4>
      </vt:variant>
      <vt:variant>
        <vt:i4>0</vt:i4>
      </vt:variant>
      <vt:variant>
        <vt:i4>5</vt:i4>
      </vt:variant>
      <vt:variant>
        <vt:lpwstr/>
      </vt:variant>
      <vt:variant>
        <vt:lpwstr>_Toc447203041</vt:lpwstr>
      </vt:variant>
      <vt:variant>
        <vt:i4>1441843</vt:i4>
      </vt:variant>
      <vt:variant>
        <vt:i4>179</vt:i4>
      </vt:variant>
      <vt:variant>
        <vt:i4>0</vt:i4>
      </vt:variant>
      <vt:variant>
        <vt:i4>5</vt:i4>
      </vt:variant>
      <vt:variant>
        <vt:lpwstr/>
      </vt:variant>
      <vt:variant>
        <vt:lpwstr>_Toc447203040</vt:lpwstr>
      </vt:variant>
      <vt:variant>
        <vt:i4>1114163</vt:i4>
      </vt:variant>
      <vt:variant>
        <vt:i4>173</vt:i4>
      </vt:variant>
      <vt:variant>
        <vt:i4>0</vt:i4>
      </vt:variant>
      <vt:variant>
        <vt:i4>5</vt:i4>
      </vt:variant>
      <vt:variant>
        <vt:lpwstr/>
      </vt:variant>
      <vt:variant>
        <vt:lpwstr>_Toc447203039</vt:lpwstr>
      </vt:variant>
      <vt:variant>
        <vt:i4>1114163</vt:i4>
      </vt:variant>
      <vt:variant>
        <vt:i4>167</vt:i4>
      </vt:variant>
      <vt:variant>
        <vt:i4>0</vt:i4>
      </vt:variant>
      <vt:variant>
        <vt:i4>5</vt:i4>
      </vt:variant>
      <vt:variant>
        <vt:lpwstr/>
      </vt:variant>
      <vt:variant>
        <vt:lpwstr>_Toc447203038</vt:lpwstr>
      </vt:variant>
      <vt:variant>
        <vt:i4>1114163</vt:i4>
      </vt:variant>
      <vt:variant>
        <vt:i4>161</vt:i4>
      </vt:variant>
      <vt:variant>
        <vt:i4>0</vt:i4>
      </vt:variant>
      <vt:variant>
        <vt:i4>5</vt:i4>
      </vt:variant>
      <vt:variant>
        <vt:lpwstr/>
      </vt:variant>
      <vt:variant>
        <vt:lpwstr>_Toc447203037</vt:lpwstr>
      </vt:variant>
      <vt:variant>
        <vt:i4>1114163</vt:i4>
      </vt:variant>
      <vt:variant>
        <vt:i4>155</vt:i4>
      </vt:variant>
      <vt:variant>
        <vt:i4>0</vt:i4>
      </vt:variant>
      <vt:variant>
        <vt:i4>5</vt:i4>
      </vt:variant>
      <vt:variant>
        <vt:lpwstr/>
      </vt:variant>
      <vt:variant>
        <vt:lpwstr>_Toc447203036</vt:lpwstr>
      </vt:variant>
      <vt:variant>
        <vt:i4>1114163</vt:i4>
      </vt:variant>
      <vt:variant>
        <vt:i4>149</vt:i4>
      </vt:variant>
      <vt:variant>
        <vt:i4>0</vt:i4>
      </vt:variant>
      <vt:variant>
        <vt:i4>5</vt:i4>
      </vt:variant>
      <vt:variant>
        <vt:lpwstr/>
      </vt:variant>
      <vt:variant>
        <vt:lpwstr>_Toc447203035</vt:lpwstr>
      </vt:variant>
      <vt:variant>
        <vt:i4>1114163</vt:i4>
      </vt:variant>
      <vt:variant>
        <vt:i4>143</vt:i4>
      </vt:variant>
      <vt:variant>
        <vt:i4>0</vt:i4>
      </vt:variant>
      <vt:variant>
        <vt:i4>5</vt:i4>
      </vt:variant>
      <vt:variant>
        <vt:lpwstr/>
      </vt:variant>
      <vt:variant>
        <vt:lpwstr>_Toc447203034</vt:lpwstr>
      </vt:variant>
      <vt:variant>
        <vt:i4>1114163</vt:i4>
      </vt:variant>
      <vt:variant>
        <vt:i4>137</vt:i4>
      </vt:variant>
      <vt:variant>
        <vt:i4>0</vt:i4>
      </vt:variant>
      <vt:variant>
        <vt:i4>5</vt:i4>
      </vt:variant>
      <vt:variant>
        <vt:lpwstr/>
      </vt:variant>
      <vt:variant>
        <vt:lpwstr>_Toc447203033</vt:lpwstr>
      </vt:variant>
      <vt:variant>
        <vt:i4>1114163</vt:i4>
      </vt:variant>
      <vt:variant>
        <vt:i4>131</vt:i4>
      </vt:variant>
      <vt:variant>
        <vt:i4>0</vt:i4>
      </vt:variant>
      <vt:variant>
        <vt:i4>5</vt:i4>
      </vt:variant>
      <vt:variant>
        <vt:lpwstr/>
      </vt:variant>
      <vt:variant>
        <vt:lpwstr>_Toc447203032</vt:lpwstr>
      </vt:variant>
      <vt:variant>
        <vt:i4>1114163</vt:i4>
      </vt:variant>
      <vt:variant>
        <vt:i4>125</vt:i4>
      </vt:variant>
      <vt:variant>
        <vt:i4>0</vt:i4>
      </vt:variant>
      <vt:variant>
        <vt:i4>5</vt:i4>
      </vt:variant>
      <vt:variant>
        <vt:lpwstr/>
      </vt:variant>
      <vt:variant>
        <vt:lpwstr>_Toc447203031</vt:lpwstr>
      </vt:variant>
      <vt:variant>
        <vt:i4>1114163</vt:i4>
      </vt:variant>
      <vt:variant>
        <vt:i4>119</vt:i4>
      </vt:variant>
      <vt:variant>
        <vt:i4>0</vt:i4>
      </vt:variant>
      <vt:variant>
        <vt:i4>5</vt:i4>
      </vt:variant>
      <vt:variant>
        <vt:lpwstr/>
      </vt:variant>
      <vt:variant>
        <vt:lpwstr>_Toc447203030</vt:lpwstr>
      </vt:variant>
      <vt:variant>
        <vt:i4>1048627</vt:i4>
      </vt:variant>
      <vt:variant>
        <vt:i4>113</vt:i4>
      </vt:variant>
      <vt:variant>
        <vt:i4>0</vt:i4>
      </vt:variant>
      <vt:variant>
        <vt:i4>5</vt:i4>
      </vt:variant>
      <vt:variant>
        <vt:lpwstr/>
      </vt:variant>
      <vt:variant>
        <vt:lpwstr>_Toc447203029</vt:lpwstr>
      </vt:variant>
      <vt:variant>
        <vt:i4>1048627</vt:i4>
      </vt:variant>
      <vt:variant>
        <vt:i4>107</vt:i4>
      </vt:variant>
      <vt:variant>
        <vt:i4>0</vt:i4>
      </vt:variant>
      <vt:variant>
        <vt:i4>5</vt:i4>
      </vt:variant>
      <vt:variant>
        <vt:lpwstr/>
      </vt:variant>
      <vt:variant>
        <vt:lpwstr>_Toc447203028</vt:lpwstr>
      </vt:variant>
      <vt:variant>
        <vt:i4>1048627</vt:i4>
      </vt:variant>
      <vt:variant>
        <vt:i4>101</vt:i4>
      </vt:variant>
      <vt:variant>
        <vt:i4>0</vt:i4>
      </vt:variant>
      <vt:variant>
        <vt:i4>5</vt:i4>
      </vt:variant>
      <vt:variant>
        <vt:lpwstr/>
      </vt:variant>
      <vt:variant>
        <vt:lpwstr>_Toc447203027</vt:lpwstr>
      </vt:variant>
      <vt:variant>
        <vt:i4>1048627</vt:i4>
      </vt:variant>
      <vt:variant>
        <vt:i4>95</vt:i4>
      </vt:variant>
      <vt:variant>
        <vt:i4>0</vt:i4>
      </vt:variant>
      <vt:variant>
        <vt:i4>5</vt:i4>
      </vt:variant>
      <vt:variant>
        <vt:lpwstr/>
      </vt:variant>
      <vt:variant>
        <vt:lpwstr>_Toc447203026</vt:lpwstr>
      </vt:variant>
      <vt:variant>
        <vt:i4>1048627</vt:i4>
      </vt:variant>
      <vt:variant>
        <vt:i4>89</vt:i4>
      </vt:variant>
      <vt:variant>
        <vt:i4>0</vt:i4>
      </vt:variant>
      <vt:variant>
        <vt:i4>5</vt:i4>
      </vt:variant>
      <vt:variant>
        <vt:lpwstr/>
      </vt:variant>
      <vt:variant>
        <vt:lpwstr>_Toc447203025</vt:lpwstr>
      </vt:variant>
      <vt:variant>
        <vt:i4>1048627</vt:i4>
      </vt:variant>
      <vt:variant>
        <vt:i4>83</vt:i4>
      </vt:variant>
      <vt:variant>
        <vt:i4>0</vt:i4>
      </vt:variant>
      <vt:variant>
        <vt:i4>5</vt:i4>
      </vt:variant>
      <vt:variant>
        <vt:lpwstr/>
      </vt:variant>
      <vt:variant>
        <vt:lpwstr>_Toc447203024</vt:lpwstr>
      </vt:variant>
      <vt:variant>
        <vt:i4>1048627</vt:i4>
      </vt:variant>
      <vt:variant>
        <vt:i4>77</vt:i4>
      </vt:variant>
      <vt:variant>
        <vt:i4>0</vt:i4>
      </vt:variant>
      <vt:variant>
        <vt:i4>5</vt:i4>
      </vt:variant>
      <vt:variant>
        <vt:lpwstr/>
      </vt:variant>
      <vt:variant>
        <vt:lpwstr>_Toc447203023</vt:lpwstr>
      </vt:variant>
      <vt:variant>
        <vt:i4>1048627</vt:i4>
      </vt:variant>
      <vt:variant>
        <vt:i4>71</vt:i4>
      </vt:variant>
      <vt:variant>
        <vt:i4>0</vt:i4>
      </vt:variant>
      <vt:variant>
        <vt:i4>5</vt:i4>
      </vt:variant>
      <vt:variant>
        <vt:lpwstr/>
      </vt:variant>
      <vt:variant>
        <vt:lpwstr>_Toc447203022</vt:lpwstr>
      </vt:variant>
      <vt:variant>
        <vt:i4>1048627</vt:i4>
      </vt:variant>
      <vt:variant>
        <vt:i4>65</vt:i4>
      </vt:variant>
      <vt:variant>
        <vt:i4>0</vt:i4>
      </vt:variant>
      <vt:variant>
        <vt:i4>5</vt:i4>
      </vt:variant>
      <vt:variant>
        <vt:lpwstr/>
      </vt:variant>
      <vt:variant>
        <vt:lpwstr>_Toc447203021</vt:lpwstr>
      </vt:variant>
      <vt:variant>
        <vt:i4>1048627</vt:i4>
      </vt:variant>
      <vt:variant>
        <vt:i4>59</vt:i4>
      </vt:variant>
      <vt:variant>
        <vt:i4>0</vt:i4>
      </vt:variant>
      <vt:variant>
        <vt:i4>5</vt:i4>
      </vt:variant>
      <vt:variant>
        <vt:lpwstr/>
      </vt:variant>
      <vt:variant>
        <vt:lpwstr>_Toc447203020</vt:lpwstr>
      </vt:variant>
      <vt:variant>
        <vt:i4>1245235</vt:i4>
      </vt:variant>
      <vt:variant>
        <vt:i4>53</vt:i4>
      </vt:variant>
      <vt:variant>
        <vt:i4>0</vt:i4>
      </vt:variant>
      <vt:variant>
        <vt:i4>5</vt:i4>
      </vt:variant>
      <vt:variant>
        <vt:lpwstr/>
      </vt:variant>
      <vt:variant>
        <vt:lpwstr>_Toc447203019</vt:lpwstr>
      </vt:variant>
      <vt:variant>
        <vt:i4>1245235</vt:i4>
      </vt:variant>
      <vt:variant>
        <vt:i4>47</vt:i4>
      </vt:variant>
      <vt:variant>
        <vt:i4>0</vt:i4>
      </vt:variant>
      <vt:variant>
        <vt:i4>5</vt:i4>
      </vt:variant>
      <vt:variant>
        <vt:lpwstr/>
      </vt:variant>
      <vt:variant>
        <vt:lpwstr>_Toc447203018</vt:lpwstr>
      </vt:variant>
      <vt:variant>
        <vt:i4>1245235</vt:i4>
      </vt:variant>
      <vt:variant>
        <vt:i4>41</vt:i4>
      </vt:variant>
      <vt:variant>
        <vt:i4>0</vt:i4>
      </vt:variant>
      <vt:variant>
        <vt:i4>5</vt:i4>
      </vt:variant>
      <vt:variant>
        <vt:lpwstr/>
      </vt:variant>
      <vt:variant>
        <vt:lpwstr>_Toc447203017</vt:lpwstr>
      </vt:variant>
      <vt:variant>
        <vt:i4>1245235</vt:i4>
      </vt:variant>
      <vt:variant>
        <vt:i4>35</vt:i4>
      </vt:variant>
      <vt:variant>
        <vt:i4>0</vt:i4>
      </vt:variant>
      <vt:variant>
        <vt:i4>5</vt:i4>
      </vt:variant>
      <vt:variant>
        <vt:lpwstr/>
      </vt:variant>
      <vt:variant>
        <vt:lpwstr>_Toc447203016</vt:lpwstr>
      </vt:variant>
      <vt:variant>
        <vt:i4>1245235</vt:i4>
      </vt:variant>
      <vt:variant>
        <vt:i4>29</vt:i4>
      </vt:variant>
      <vt:variant>
        <vt:i4>0</vt:i4>
      </vt:variant>
      <vt:variant>
        <vt:i4>5</vt:i4>
      </vt:variant>
      <vt:variant>
        <vt:lpwstr/>
      </vt:variant>
      <vt:variant>
        <vt:lpwstr>_Toc447203015</vt:lpwstr>
      </vt:variant>
      <vt:variant>
        <vt:i4>1245235</vt:i4>
      </vt:variant>
      <vt:variant>
        <vt:i4>23</vt:i4>
      </vt:variant>
      <vt:variant>
        <vt:i4>0</vt:i4>
      </vt:variant>
      <vt:variant>
        <vt:i4>5</vt:i4>
      </vt:variant>
      <vt:variant>
        <vt:lpwstr/>
      </vt:variant>
      <vt:variant>
        <vt:lpwstr>_Toc447203014</vt:lpwstr>
      </vt:variant>
      <vt:variant>
        <vt:i4>1245235</vt:i4>
      </vt:variant>
      <vt:variant>
        <vt:i4>17</vt:i4>
      </vt:variant>
      <vt:variant>
        <vt:i4>0</vt:i4>
      </vt:variant>
      <vt:variant>
        <vt:i4>5</vt:i4>
      </vt:variant>
      <vt:variant>
        <vt:lpwstr/>
      </vt:variant>
      <vt:variant>
        <vt:lpwstr>_Toc447203013</vt:lpwstr>
      </vt:variant>
      <vt:variant>
        <vt:i4>1245235</vt:i4>
      </vt:variant>
      <vt:variant>
        <vt:i4>11</vt:i4>
      </vt:variant>
      <vt:variant>
        <vt:i4>0</vt:i4>
      </vt:variant>
      <vt:variant>
        <vt:i4>5</vt:i4>
      </vt:variant>
      <vt:variant>
        <vt:lpwstr/>
      </vt:variant>
      <vt:variant>
        <vt:lpwstr>_Toc447203012</vt:lpwstr>
      </vt:variant>
      <vt:variant>
        <vt:i4>2097200</vt:i4>
      </vt:variant>
      <vt:variant>
        <vt:i4>6</vt:i4>
      </vt:variant>
      <vt:variant>
        <vt:i4>0</vt:i4>
      </vt:variant>
      <vt:variant>
        <vt:i4>5</vt:i4>
      </vt:variant>
      <vt:variant>
        <vt:lpwstr>http://www.centralcancernetwork.org.nz/</vt:lpwstr>
      </vt:variant>
      <vt:variant>
        <vt:lpwstr/>
      </vt:variant>
      <vt:variant>
        <vt:i4>1179736</vt:i4>
      </vt:variant>
      <vt:variant>
        <vt:i4>3</vt:i4>
      </vt:variant>
      <vt:variant>
        <vt:i4>0</vt:i4>
      </vt:variant>
      <vt:variant>
        <vt:i4>5</vt:i4>
      </vt:variant>
      <vt:variant>
        <vt:lpwstr>http://www.northerncancernetwork.org.nz/</vt:lpwstr>
      </vt:variant>
      <vt:variant>
        <vt:lpwstr/>
      </vt:variant>
      <vt:variant>
        <vt:i4>2228340</vt:i4>
      </vt:variant>
      <vt:variant>
        <vt:i4>0</vt:i4>
      </vt:variant>
      <vt:variant>
        <vt:i4>0</vt:i4>
      </vt:variant>
      <vt:variant>
        <vt:i4>5</vt:i4>
      </vt:variant>
      <vt:variant>
        <vt:lpwstr>http://www.health.govt.nz/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of Service Provision for Lung Cancer Patients in New Zealand</dc:title>
  <dc:creator>Ministry of Health</dc:creator>
  <cp:lastModifiedBy>Jane Adam</cp:lastModifiedBy>
  <cp:revision>9</cp:revision>
  <cp:lastPrinted>2016-04-28T00:34:00Z</cp:lastPrinted>
  <dcterms:created xsi:type="dcterms:W3CDTF">2016-04-26T04:43:00Z</dcterms:created>
  <dcterms:modified xsi:type="dcterms:W3CDTF">2016-05-19T21:06:00Z</dcterms:modified>
</cp:coreProperties>
</file>